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eastAsia="黑体" w:cs="Times New Roman"/>
          <w:b/>
          <w:color w:val="FF0000"/>
          <w:spacing w:val="1"/>
          <w:kern w:val="0"/>
          <w:sz w:val="28"/>
          <w:szCs w:val="66"/>
        </w:rPr>
      </w:pPr>
      <w:bookmarkStart w:id="0" w:name="_Toc28572"/>
      <w:bookmarkStart w:id="1" w:name="_Toc3843"/>
      <w:bookmarkStart w:id="2" w:name="_Toc18753"/>
      <w:bookmarkStart w:id="3" w:name="_Toc1014"/>
      <w:bookmarkStart w:id="4" w:name="_Toc22306"/>
      <w:bookmarkStart w:id="5" w:name="_Toc21106"/>
      <w:bookmarkStart w:id="6" w:name="_Toc19362"/>
      <w:bookmarkStart w:id="7" w:name="_Toc20208"/>
      <w:bookmarkStart w:id="8" w:name="_Toc23373"/>
      <w:r>
        <w:rPr>
          <w:rFonts w:cs="Times New Roman"/>
          <w:sz w:val="18"/>
        </w:rPr>
        <mc:AlternateContent>
          <mc:Choice Requires="wps">
            <w:drawing>
              <wp:anchor distT="0" distB="0" distL="114300" distR="114300" simplePos="0" relativeHeight="251659264" behindDoc="0" locked="1" layoutInCell="1" allowOverlap="1">
                <wp:simplePos x="0" y="0"/>
                <wp:positionH relativeFrom="margin">
                  <wp:posOffset>4114800</wp:posOffset>
                </wp:positionH>
                <wp:positionV relativeFrom="margin">
                  <wp:posOffset>-194945</wp:posOffset>
                </wp:positionV>
                <wp:extent cx="1143000" cy="751840"/>
                <wp:effectExtent l="0" t="0" r="0" b="0"/>
                <wp:wrapNone/>
                <wp:docPr id="29" name="矩形 5"/>
                <wp:cNvGraphicFramePr/>
                <a:graphic xmlns:a="http://schemas.openxmlformats.org/drawingml/2006/main">
                  <a:graphicData uri="http://schemas.microsoft.com/office/word/2010/wordprocessingShape">
                    <wps:wsp>
                      <wps:cNvSpPr>
                        <a:spLocks noChangeArrowheads="1"/>
                      </wps:cNvSpPr>
                      <wps:spPr bwMode="auto">
                        <a:xfrm>
                          <a:off x="0" y="0"/>
                          <a:ext cx="1143000" cy="751840"/>
                        </a:xfrm>
                        <a:prstGeom prst="rect">
                          <a:avLst/>
                        </a:prstGeom>
                        <a:solidFill>
                          <a:srgbClr val="FFFFFF"/>
                        </a:solidFill>
                        <a:ln>
                          <a:noFill/>
                        </a:ln>
                      </wps:spPr>
                      <wps:txbx>
                        <w:txbxContent>
                          <w:p>
                            <w:pPr>
                              <w:pStyle w:val="29"/>
                              <w:snapToGrid w:val="0"/>
                              <w:spacing w:line="240" w:lineRule="auto"/>
                              <w:jc w:val="center"/>
                              <w:rPr>
                                <w:b w:val="0"/>
                                <w:szCs w:val="96"/>
                              </w:rPr>
                            </w:pPr>
                            <w:r>
                              <w:rPr>
                                <w:rFonts w:hint="eastAsia"/>
                                <w:b w:val="0"/>
                                <w:szCs w:val="96"/>
                              </w:rPr>
                              <w:t>T</w:t>
                            </w:r>
                          </w:p>
                        </w:txbxContent>
                      </wps:txbx>
                      <wps:bodyPr rot="0" vert="horz" wrap="square" lIns="0" tIns="0" rIns="0" bIns="0" anchor="t" anchorCtr="0" upright="1">
                        <a:noAutofit/>
                      </wps:bodyPr>
                    </wps:wsp>
                  </a:graphicData>
                </a:graphic>
              </wp:anchor>
            </w:drawing>
          </mc:Choice>
          <mc:Fallback>
            <w:pict>
              <v:rect id="矩形 5" o:spid="_x0000_s1026" o:spt="1" style="position:absolute;left:0pt;margin-left:324pt;margin-top:-15.35pt;height:59.2pt;width:90pt;mso-position-horizontal-relative:margin;mso-position-vertical-relative:margin;z-index:251659264;mso-width-relative:page;mso-height-relative:page;" fillcolor="#FFFFFF" filled="t" stroked="f" coordsize="21600,21600" o:gfxdata="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C1A6bWAAAACgEAAA8A&#10;AAAAAAAAAQAgAAAAIgAAAGRycy9kb3ducmV2LnhtbFBLAQIUABQAAAAIAIdO4kB+Jw4CGQIAACIE&#10;AAAOAAAAAAAAAAEAIAAAACUBAABkcnMvZTJvRG9jLnhtbFBLBQYAAAAABgAGAFkBAACwBQAAAAA=&#10;">
                <v:fill on="t" focussize="0,0"/>
                <v:stroke on="f"/>
                <v:imagedata o:title=""/>
                <o:lock v:ext="edit" aspectratio="f"/>
                <v:textbox inset="0mm,0mm,0mm,0mm">
                  <w:txbxContent>
                    <w:p>
                      <w:pPr>
                        <w:pStyle w:val="29"/>
                        <w:snapToGrid w:val="0"/>
                        <w:spacing w:line="240" w:lineRule="auto"/>
                        <w:jc w:val="center"/>
                        <w:rPr>
                          <w:b w:val="0"/>
                          <w:szCs w:val="96"/>
                        </w:rPr>
                      </w:pPr>
                      <w:r>
                        <w:rPr>
                          <w:rFonts w:hint="eastAsia"/>
                          <w:b w:val="0"/>
                          <w:szCs w:val="96"/>
                        </w:rPr>
                        <w:t>T</w:t>
                      </w:r>
                    </w:p>
                  </w:txbxContent>
                </v:textbox>
                <w10:anchorlock/>
              </v:rect>
            </w:pict>
          </mc:Fallback>
        </mc:AlternateContent>
      </w:r>
    </w:p>
    <w:p>
      <w:pPr>
        <w:snapToGrid w:val="0"/>
        <w:rPr>
          <w:rFonts w:eastAsia="黑体" w:cs="Times New Roman"/>
          <w:b/>
          <w:spacing w:val="1"/>
          <w:kern w:val="0"/>
          <w:sz w:val="28"/>
          <w:szCs w:val="66"/>
        </w:rPr>
      </w:pPr>
    </w:p>
    <w:p>
      <w:pPr>
        <w:snapToGrid w:val="0"/>
        <w:jc w:val="center"/>
        <w:rPr>
          <w:rFonts w:eastAsia="黑体" w:cs="Times New Roman"/>
          <w:spacing w:val="1"/>
          <w:kern w:val="0"/>
          <w:sz w:val="52"/>
          <w:szCs w:val="52"/>
        </w:rPr>
      </w:pPr>
      <w:r>
        <w:rPr>
          <w:rFonts w:eastAsia="黑体" w:cs="Times New Roman"/>
          <w:spacing w:val="1"/>
          <w:kern w:val="0"/>
          <w:sz w:val="52"/>
          <w:szCs w:val="52"/>
        </w:rPr>
        <w:t>中  国  建  筑  学  会  标  准</w:t>
      </w:r>
    </w:p>
    <w:p>
      <w:pPr>
        <w:snapToGrid w:val="0"/>
        <w:jc w:val="right"/>
        <w:rPr>
          <w:rFonts w:cs="Times New Roman"/>
          <w:sz w:val="28"/>
          <w:szCs w:val="32"/>
        </w:rPr>
      </w:pPr>
      <w:r>
        <w:rPr>
          <w:rFonts w:cs="Times New Roman"/>
          <w:sz w:val="28"/>
          <w:szCs w:val="32"/>
        </w:rPr>
        <w:t>T/ASC</w:t>
      </w:r>
      <w:r>
        <w:rPr>
          <w:rFonts w:cs="Times New Roman"/>
          <w:color w:val="000000"/>
          <w:sz w:val="30"/>
        </w:rPr>
        <w:t xml:space="preserve"> </w:t>
      </w:r>
      <w:r>
        <w:rPr>
          <w:rFonts w:cs="Times New Roman"/>
          <w:color w:val="000000"/>
          <w:sz w:val="28"/>
          <w:szCs w:val="28"/>
        </w:rPr>
        <w:t>XX</w:t>
      </w:r>
      <w:r>
        <w:rPr>
          <w:rFonts w:cs="Times New Roman"/>
          <w:sz w:val="28"/>
          <w:szCs w:val="32"/>
        </w:rPr>
        <w:t xml:space="preserve"> -20</w:t>
      </w:r>
      <w:r>
        <w:rPr>
          <w:rFonts w:hint="eastAsia" w:cs="Times New Roman"/>
          <w:color w:val="000000"/>
          <w:sz w:val="28"/>
          <w:szCs w:val="28"/>
        </w:rPr>
        <w:t>2</w:t>
      </w:r>
      <w:r>
        <w:rPr>
          <w:rFonts w:cs="Times New Roman"/>
          <w:color w:val="000000"/>
          <w:sz w:val="28"/>
          <w:szCs w:val="28"/>
        </w:rPr>
        <w:t>X</w:t>
      </w:r>
    </w:p>
    <w:p>
      <w:pPr>
        <w:snapToGrid w:val="0"/>
        <w:textAlignment w:val="center"/>
        <w:rPr>
          <w:rFonts w:eastAsia="黑体" w:cs="Times New Roman"/>
          <w:b/>
          <w:sz w:val="30"/>
          <w:szCs w:val="30"/>
        </w:rPr>
      </w:pPr>
      <w:r>
        <w:rPr>
          <w:rFonts w:cs="Times New Roma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16510</wp:posOffset>
                </wp:positionV>
                <wp:extent cx="5257800" cy="0"/>
                <wp:effectExtent l="0" t="0" r="0" b="0"/>
                <wp:wrapNone/>
                <wp:docPr id="30"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9050">
                          <a:solidFill>
                            <a:srgbClr val="000000"/>
                          </a:solidFill>
                          <a:round/>
                        </a:ln>
                      </wps:spPr>
                      <wps:bodyPr/>
                    </wps:wsp>
                  </a:graphicData>
                </a:graphic>
              </wp:anchor>
            </w:drawing>
          </mc:Choice>
          <mc:Fallback>
            <w:pict>
              <v:line id="直接连接符 2" o:spid="_x0000_s1026" o:spt="20" style="position:absolute;left:0pt;margin-left:0pt;margin-top:1.3pt;height:0pt;width:414pt;z-index:251660288;mso-width-relative:page;mso-height-relative:page;" filled="f" stroked="t" coordsize="21600,21600" o:gfxdata="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TaFi9EAAAAEAQAADwAA&#10;AAAAAAABACAAAAAiAAAAZHJzL2Rvd25yZXYueG1sUEsBAhQAFAAAAAgAh07iQFwGN6DkAQAArAMA&#10;AA4AAAAAAAAAAQAgAAAAIAEAAGRycy9lMm9Eb2MueG1sUEsFBgAAAAAGAAYAWQEAAHYFAAAAAA==&#10;">
                <v:fill on="f" focussize="0,0"/>
                <v:stroke weight="1.5pt" color="#000000" joinstyle="round"/>
                <v:imagedata o:title=""/>
                <o:lock v:ext="edit" aspectratio="f"/>
              </v:line>
            </w:pict>
          </mc:Fallback>
        </mc:AlternateContent>
      </w:r>
    </w:p>
    <w:p>
      <w:pPr>
        <w:snapToGrid w:val="0"/>
        <w:textAlignment w:val="center"/>
        <w:rPr>
          <w:rFonts w:eastAsia="黑体" w:cs="Times New Roman"/>
          <w:b/>
          <w:spacing w:val="1"/>
          <w:kern w:val="0"/>
          <w:sz w:val="36"/>
          <w:szCs w:val="66"/>
        </w:rPr>
      </w:pPr>
    </w:p>
    <w:p>
      <w:pPr>
        <w:snapToGrid w:val="0"/>
        <w:textAlignment w:val="center"/>
        <w:rPr>
          <w:rFonts w:eastAsia="黑体" w:cs="Times New Roman"/>
          <w:b/>
          <w:spacing w:val="1"/>
          <w:kern w:val="0"/>
          <w:sz w:val="36"/>
          <w:szCs w:val="66"/>
        </w:rPr>
      </w:pPr>
    </w:p>
    <w:p>
      <w:pPr>
        <w:widowControl/>
        <w:snapToGrid w:val="0"/>
        <w:jc w:val="center"/>
        <w:rPr>
          <w:rFonts w:eastAsia="黑体" w:cs="Times New Roman"/>
          <w:color w:val="000000"/>
          <w:spacing w:val="-20"/>
          <w:sz w:val="52"/>
          <w:szCs w:val="52"/>
        </w:rPr>
      </w:pPr>
      <w:r>
        <w:rPr>
          <w:rFonts w:eastAsia="黑体" w:cs="Times New Roman"/>
          <w:color w:val="000000"/>
          <w:spacing w:val="-20"/>
          <w:sz w:val="52"/>
          <w:szCs w:val="52"/>
        </w:rPr>
        <w:t>装配式复合轻质墙体应用技术标准</w:t>
      </w:r>
    </w:p>
    <w:p>
      <w:pPr>
        <w:snapToGrid w:val="0"/>
        <w:jc w:val="center"/>
        <w:textAlignment w:val="center"/>
        <w:rPr>
          <w:rFonts w:cs="Times New Roman"/>
          <w:sz w:val="36"/>
        </w:rPr>
      </w:pPr>
      <w:r>
        <w:rPr>
          <w:rFonts w:cs="Times New Roman"/>
          <w:sz w:val="36"/>
        </w:rPr>
        <w:t xml:space="preserve">Technical standard for the application of prefabricated composite lightweight wall </w:t>
      </w:r>
    </w:p>
    <w:p>
      <w:pPr>
        <w:widowControl/>
        <w:snapToGrid w:val="0"/>
        <w:jc w:val="center"/>
        <w:rPr>
          <w:rFonts w:eastAsia="黑体" w:cs="Times New Roman"/>
          <w:color w:val="000000"/>
          <w:sz w:val="30"/>
        </w:rPr>
      </w:pPr>
      <w:r>
        <w:rPr>
          <w:rFonts w:eastAsia="黑体" w:cs="Times New Roman"/>
          <w:color w:val="000000"/>
          <w:sz w:val="30"/>
        </w:rPr>
        <w:t>（</w:t>
      </w:r>
      <w:r>
        <w:rPr>
          <w:rFonts w:hint="eastAsia" w:eastAsia="黑体" w:cs="Times New Roman"/>
          <w:color w:val="000000"/>
          <w:sz w:val="30"/>
          <w:lang w:val="en-US" w:eastAsia="zh-CN"/>
        </w:rPr>
        <w:t>征求意见稿</w:t>
      </w:r>
      <w:r>
        <w:rPr>
          <w:rFonts w:eastAsia="黑体" w:cs="Times New Roman"/>
          <w:color w:val="000000"/>
          <w:sz w:val="30"/>
        </w:rPr>
        <w:t>）</w:t>
      </w:r>
      <w:bookmarkStart w:id="187" w:name="_GoBack"/>
      <w:bookmarkEnd w:id="187"/>
    </w:p>
    <w:p>
      <w:pPr>
        <w:snapToGrid w:val="0"/>
        <w:textAlignment w:val="center"/>
        <w:rPr>
          <w:rFonts w:cs="Times New Roman"/>
          <w:b/>
          <w:sz w:val="36"/>
        </w:rPr>
      </w:pPr>
    </w:p>
    <w:p>
      <w:pPr>
        <w:snapToGrid w:val="0"/>
        <w:textAlignment w:val="center"/>
        <w:rPr>
          <w:rFonts w:eastAsia="黑体" w:cs="Times New Roman"/>
          <w:b/>
          <w:kern w:val="0"/>
          <w:sz w:val="52"/>
          <w:szCs w:val="21"/>
        </w:rPr>
      </w:pPr>
    </w:p>
    <w:p>
      <w:pPr>
        <w:pStyle w:val="2"/>
      </w:pPr>
    </w:p>
    <w:p>
      <w:pPr>
        <w:pStyle w:val="2"/>
      </w:pPr>
    </w:p>
    <w:p>
      <w:pPr>
        <w:pStyle w:val="2"/>
      </w:pPr>
    </w:p>
    <w:p>
      <w:pPr>
        <w:pStyle w:val="2"/>
      </w:pPr>
    </w:p>
    <w:p>
      <w:pPr>
        <w:pStyle w:val="2"/>
      </w:pPr>
    </w:p>
    <w:p>
      <w:pPr>
        <w:pStyle w:val="2"/>
      </w:pPr>
    </w:p>
    <w:p>
      <w:pPr>
        <w:widowControl/>
        <w:snapToGrid w:val="0"/>
        <w:rPr>
          <w:rFonts w:eastAsia="黑体" w:cs="Times New Roman"/>
          <w:b/>
          <w:sz w:val="28"/>
          <w:szCs w:val="30"/>
        </w:rPr>
      </w:pPr>
      <w:r>
        <w:rPr>
          <w:rFonts w:cs="Times New Roman"/>
          <w:sz w:val="2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393065</wp:posOffset>
                </wp:positionV>
                <wp:extent cx="5257800" cy="0"/>
                <wp:effectExtent l="0" t="0" r="0" b="0"/>
                <wp:wrapNone/>
                <wp:docPr id="31"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9050">
                          <a:solidFill>
                            <a:srgbClr val="000000"/>
                          </a:solidFill>
                          <a:round/>
                        </a:ln>
                      </wps:spPr>
                      <wps:bodyPr/>
                    </wps:wsp>
                  </a:graphicData>
                </a:graphic>
              </wp:anchor>
            </w:drawing>
          </mc:Choice>
          <mc:Fallback>
            <w:pict>
              <v:line id="直接连接符 2" o:spid="_x0000_s1026" o:spt="20" style="position:absolute;left:0pt;margin-left:0pt;margin-top:30.95pt;height:0pt;width:414pt;z-index:251661312;mso-width-relative:page;mso-height-relative:page;" filled="f" stroked="t" coordsize="21600,21600" o:gfxdata="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T8fG0gAAAAYBAAAP&#10;AAAAAAAAAAEAIAAAACIAAABkcnMvZG93bnJldi54bWxQSwECFAAUAAAACACHTuJAhBDiKeUBAACs&#10;AwAADgAAAAAAAAABACAAAAAhAQAAZHJzL2Uyb0RvYy54bWxQSwUGAAAAAAYABgBZAQAAeAUAAAAA&#10;">
                <v:fill on="f" focussize="0,0"/>
                <v:stroke weight="1.5pt" color="#000000" joinstyle="round"/>
                <v:imagedata o:title=""/>
                <o:lock v:ext="edit" aspectratio="f"/>
              </v:line>
            </w:pict>
          </mc:Fallback>
        </mc:AlternateContent>
      </w:r>
      <w:r>
        <w:rPr>
          <w:rFonts w:eastAsia="黑体" w:cs="Times New Roman"/>
          <w:b/>
          <w:sz w:val="28"/>
          <w:szCs w:val="30"/>
        </w:rPr>
        <w:t>202X－XX－XX 发布</w:t>
      </w:r>
      <w:r>
        <w:rPr>
          <w:rFonts w:eastAsia="黑体" w:cs="Times New Roman"/>
          <w:b/>
          <w:sz w:val="30"/>
          <w:szCs w:val="30"/>
        </w:rPr>
        <w:t xml:space="preserve">                  </w:t>
      </w:r>
      <w:r>
        <w:rPr>
          <w:rFonts w:eastAsia="黑体" w:cs="Times New Roman"/>
          <w:b/>
          <w:sz w:val="28"/>
          <w:szCs w:val="30"/>
        </w:rPr>
        <w:t>202X－XX－XX  实施</w:t>
      </w:r>
    </w:p>
    <w:p>
      <w:pPr>
        <w:snapToGrid w:val="0"/>
        <w:jc w:val="center"/>
        <w:rPr>
          <w:rFonts w:eastAsia="黑体" w:cs="Times New Roman"/>
          <w:b/>
          <w:spacing w:val="1"/>
          <w:kern w:val="0"/>
          <w:sz w:val="36"/>
          <w:szCs w:val="66"/>
        </w:rPr>
      </w:pPr>
    </w:p>
    <w:p>
      <w:pPr>
        <w:snapToGrid w:val="0"/>
        <w:jc w:val="center"/>
        <w:rPr>
          <w:rFonts w:eastAsia="黑体" w:cs="Times New Roman"/>
          <w:b/>
          <w:spacing w:val="1"/>
          <w:kern w:val="0"/>
          <w:sz w:val="36"/>
          <w:szCs w:val="66"/>
        </w:rPr>
        <w:sectPr>
          <w:footerReference r:id="rId5" w:type="default"/>
          <w:pgSz w:w="11906" w:h="16838"/>
          <w:pgMar w:top="1440" w:right="1800" w:bottom="1440" w:left="1800" w:header="851" w:footer="992" w:gutter="0"/>
          <w:pgNumType w:start="1"/>
          <w:cols w:space="425" w:num="1"/>
          <w:docGrid w:type="lines" w:linePitch="312" w:charSpace="0"/>
        </w:sectPr>
      </w:pPr>
      <w:r>
        <w:rPr>
          <w:rFonts w:eastAsia="黑体" w:cs="Times New Roman"/>
          <w:b/>
          <w:spacing w:val="1"/>
          <w:kern w:val="0"/>
          <w:sz w:val="36"/>
          <w:szCs w:val="66"/>
        </w:rPr>
        <w:t>中  国  建  筑  学  会</w:t>
      </w:r>
      <w:r>
        <w:rPr>
          <w:rFonts w:cs="Times New Roman"/>
          <w:b/>
          <w:spacing w:val="1"/>
          <w:kern w:val="0"/>
          <w:sz w:val="36"/>
          <w:szCs w:val="66"/>
        </w:rPr>
        <w:t xml:space="preserve">    </w:t>
      </w:r>
      <w:r>
        <w:rPr>
          <w:rFonts w:eastAsia="黑体" w:cs="Times New Roman"/>
          <w:b/>
          <w:spacing w:val="1"/>
          <w:kern w:val="0"/>
          <w:sz w:val="36"/>
          <w:szCs w:val="66"/>
        </w:rPr>
        <w:t>发布</w:t>
      </w:r>
    </w:p>
    <w:p>
      <w:pPr>
        <w:snapToGrid w:val="0"/>
        <w:jc w:val="center"/>
        <w:rPr>
          <w:rFonts w:eastAsia="黑体" w:cs="Times New Roman"/>
          <w:sz w:val="36"/>
          <w:szCs w:val="36"/>
        </w:rPr>
      </w:pPr>
    </w:p>
    <w:p>
      <w:pPr>
        <w:autoSpaceDE w:val="0"/>
        <w:autoSpaceDN w:val="0"/>
        <w:snapToGrid w:val="0"/>
        <w:jc w:val="center"/>
        <w:textAlignment w:val="bottom"/>
        <w:rPr>
          <w:rFonts w:eastAsia="黑体" w:cs="Times New Roman"/>
          <w:sz w:val="36"/>
          <w:szCs w:val="36"/>
        </w:rPr>
      </w:pPr>
    </w:p>
    <w:p>
      <w:pPr>
        <w:autoSpaceDE w:val="0"/>
        <w:autoSpaceDN w:val="0"/>
        <w:snapToGrid w:val="0"/>
        <w:jc w:val="center"/>
        <w:textAlignment w:val="bottom"/>
        <w:rPr>
          <w:rFonts w:eastAsia="黑体" w:cs="Times New Roman"/>
          <w:sz w:val="36"/>
          <w:szCs w:val="36"/>
        </w:rPr>
      </w:pPr>
    </w:p>
    <w:p>
      <w:pPr>
        <w:autoSpaceDE w:val="0"/>
        <w:autoSpaceDN w:val="0"/>
        <w:snapToGrid w:val="0"/>
        <w:jc w:val="center"/>
        <w:textAlignment w:val="bottom"/>
        <w:rPr>
          <w:rFonts w:eastAsia="黑体" w:cs="Times New Roman"/>
        </w:rPr>
      </w:pPr>
      <w:r>
        <w:rPr>
          <w:rFonts w:eastAsia="黑体" w:cs="Times New Roman"/>
          <w:sz w:val="36"/>
          <w:szCs w:val="36"/>
        </w:rPr>
        <w:t>中国建筑学会标准</w:t>
      </w:r>
    </w:p>
    <w:p>
      <w:pPr>
        <w:autoSpaceDE w:val="0"/>
        <w:autoSpaceDN w:val="0"/>
        <w:snapToGrid w:val="0"/>
        <w:jc w:val="center"/>
        <w:textAlignment w:val="bottom"/>
        <w:rPr>
          <w:rFonts w:cs="Times New Roman"/>
        </w:rPr>
      </w:pPr>
    </w:p>
    <w:p>
      <w:pPr>
        <w:autoSpaceDE w:val="0"/>
        <w:autoSpaceDN w:val="0"/>
        <w:snapToGrid w:val="0"/>
        <w:jc w:val="center"/>
        <w:textAlignment w:val="bottom"/>
        <w:rPr>
          <w:rFonts w:cs="Times New Roman"/>
        </w:rPr>
      </w:pPr>
    </w:p>
    <w:p>
      <w:pPr>
        <w:autoSpaceDE w:val="0"/>
        <w:autoSpaceDN w:val="0"/>
        <w:snapToGrid w:val="0"/>
        <w:jc w:val="center"/>
        <w:textAlignment w:val="bottom"/>
        <w:rPr>
          <w:rFonts w:eastAsia="黑体" w:cs="Times New Roman"/>
          <w:color w:val="000000"/>
          <w:sz w:val="44"/>
          <w:szCs w:val="48"/>
        </w:rPr>
      </w:pPr>
      <w:r>
        <w:rPr>
          <w:rFonts w:eastAsia="黑体" w:cs="Times New Roman"/>
          <w:color w:val="000000"/>
          <w:sz w:val="44"/>
          <w:szCs w:val="48"/>
        </w:rPr>
        <w:t>装配式复合轻质墙体应用技术标准</w:t>
      </w:r>
    </w:p>
    <w:p>
      <w:pPr>
        <w:autoSpaceDE w:val="0"/>
        <w:autoSpaceDN w:val="0"/>
        <w:snapToGrid w:val="0"/>
        <w:jc w:val="center"/>
        <w:textAlignment w:val="bottom"/>
        <w:rPr>
          <w:rFonts w:eastAsia="黑体" w:cs="Times New Roman"/>
          <w:color w:val="000000"/>
          <w:sz w:val="32"/>
          <w:szCs w:val="32"/>
        </w:rPr>
      </w:pPr>
      <w:r>
        <w:rPr>
          <w:rFonts w:eastAsia="黑体" w:cs="Times New Roman"/>
          <w:color w:val="000000"/>
          <w:sz w:val="32"/>
          <w:szCs w:val="32"/>
        </w:rPr>
        <w:t xml:space="preserve">Technical standard for the application of prefabricated composite lightweight wall </w:t>
      </w:r>
    </w:p>
    <w:p>
      <w:pPr>
        <w:autoSpaceDE w:val="0"/>
        <w:autoSpaceDN w:val="0"/>
        <w:snapToGrid w:val="0"/>
        <w:jc w:val="center"/>
        <w:textAlignment w:val="bottom"/>
        <w:rPr>
          <w:rFonts w:cs="Times New Roman"/>
        </w:rPr>
      </w:pPr>
    </w:p>
    <w:p>
      <w:pPr>
        <w:autoSpaceDE w:val="0"/>
        <w:autoSpaceDN w:val="0"/>
        <w:snapToGrid w:val="0"/>
        <w:jc w:val="center"/>
        <w:textAlignment w:val="bottom"/>
        <w:rPr>
          <w:rFonts w:cs="Times New Roman"/>
        </w:rPr>
      </w:pPr>
    </w:p>
    <w:p>
      <w:pPr>
        <w:autoSpaceDE w:val="0"/>
        <w:autoSpaceDN w:val="0"/>
        <w:snapToGrid w:val="0"/>
        <w:jc w:val="center"/>
        <w:textAlignment w:val="bottom"/>
        <w:rPr>
          <w:rFonts w:cs="Times New Roman"/>
          <w:b/>
        </w:rPr>
      </w:pPr>
      <w:r>
        <w:rPr>
          <w:rFonts w:cs="Times New Roman"/>
          <w:b/>
          <w:sz w:val="28"/>
        </w:rPr>
        <w:t>T/ASC XX-202X</w:t>
      </w:r>
    </w:p>
    <w:p>
      <w:pPr>
        <w:autoSpaceDE w:val="0"/>
        <w:autoSpaceDN w:val="0"/>
        <w:snapToGrid w:val="0"/>
        <w:jc w:val="center"/>
        <w:textAlignment w:val="bottom"/>
        <w:rPr>
          <w:rFonts w:cs="Times New Roman"/>
        </w:rPr>
      </w:pPr>
    </w:p>
    <w:p>
      <w:pPr>
        <w:autoSpaceDE w:val="0"/>
        <w:autoSpaceDN w:val="0"/>
        <w:snapToGrid w:val="0"/>
        <w:ind w:firstLine="1680" w:firstLineChars="700"/>
        <w:textAlignment w:val="bottom"/>
        <w:rPr>
          <w:rFonts w:cs="Times New Roman"/>
        </w:rPr>
      </w:pPr>
    </w:p>
    <w:p>
      <w:pPr>
        <w:autoSpaceDE w:val="0"/>
        <w:autoSpaceDN w:val="0"/>
        <w:snapToGrid w:val="0"/>
        <w:ind w:firstLine="1680" w:firstLineChars="700"/>
        <w:textAlignment w:val="bottom"/>
        <w:rPr>
          <w:rFonts w:cs="Times New Roman"/>
        </w:rPr>
      </w:pPr>
    </w:p>
    <w:p>
      <w:pPr>
        <w:widowControl/>
        <w:snapToGrid w:val="0"/>
        <w:ind w:firstLine="2520" w:firstLineChars="900"/>
        <w:rPr>
          <w:rFonts w:cs="Times New Roman"/>
          <w:color w:val="000000"/>
          <w:sz w:val="28"/>
          <w:szCs w:val="28"/>
        </w:rPr>
      </w:pPr>
      <w:r>
        <w:rPr>
          <w:rFonts w:cs="Times New Roman"/>
          <w:color w:val="000000"/>
          <w:sz w:val="28"/>
          <w:szCs w:val="28"/>
        </w:rPr>
        <w:t>批准单位：中国建筑学会</w:t>
      </w:r>
    </w:p>
    <w:p>
      <w:pPr>
        <w:widowControl/>
        <w:snapToGrid w:val="0"/>
        <w:ind w:firstLine="2520" w:firstLineChars="900"/>
        <w:rPr>
          <w:rFonts w:cs="Times New Roman"/>
          <w:color w:val="000000"/>
          <w:sz w:val="28"/>
          <w:szCs w:val="28"/>
        </w:rPr>
      </w:pPr>
      <w:r>
        <w:rPr>
          <w:rFonts w:cs="Times New Roman"/>
          <w:color w:val="000000"/>
          <w:sz w:val="28"/>
          <w:szCs w:val="28"/>
        </w:rPr>
        <w:t>施行日期：202X年X月X日</w:t>
      </w:r>
    </w:p>
    <w:p>
      <w:pPr>
        <w:snapToGrid w:val="0"/>
        <w:jc w:val="center"/>
        <w:rPr>
          <w:rFonts w:cs="Times New Roman"/>
          <w:sz w:val="28"/>
          <w:szCs w:val="28"/>
        </w:rPr>
      </w:pPr>
    </w:p>
    <w:p>
      <w:pPr>
        <w:snapToGrid w:val="0"/>
        <w:jc w:val="center"/>
        <w:rPr>
          <w:rFonts w:cs="Times New Roman"/>
          <w:sz w:val="28"/>
          <w:szCs w:val="28"/>
        </w:rPr>
      </w:pPr>
    </w:p>
    <w:p>
      <w:pPr>
        <w:snapToGrid w:val="0"/>
        <w:jc w:val="center"/>
        <w:rPr>
          <w:rFonts w:cs="Times New Roman"/>
          <w:sz w:val="28"/>
          <w:szCs w:val="28"/>
        </w:rPr>
      </w:pPr>
    </w:p>
    <w:p>
      <w:pPr>
        <w:snapToGrid w:val="0"/>
        <w:jc w:val="center"/>
        <w:rPr>
          <w:rFonts w:cs="Times New Roman"/>
          <w:sz w:val="28"/>
          <w:szCs w:val="28"/>
        </w:rPr>
      </w:pPr>
    </w:p>
    <w:p>
      <w:pPr>
        <w:snapToGrid w:val="0"/>
        <w:jc w:val="center"/>
        <w:rPr>
          <w:rFonts w:cs="Times New Roman"/>
          <w:sz w:val="28"/>
          <w:szCs w:val="28"/>
        </w:rPr>
      </w:pPr>
    </w:p>
    <w:p>
      <w:pPr>
        <w:snapToGrid w:val="0"/>
        <w:jc w:val="center"/>
        <w:rPr>
          <w:rFonts w:eastAsia="黑体" w:cs="Times New Roman"/>
          <w:b/>
          <w:bCs/>
          <w:szCs w:val="28"/>
        </w:rPr>
      </w:pPr>
      <w:r>
        <w:rPr>
          <w:rFonts w:eastAsia="黑体" w:cs="Times New Roman"/>
          <w:b/>
          <w:bCs/>
          <w:szCs w:val="28"/>
        </w:rPr>
        <w:t xml:space="preserve">  </w:t>
      </w:r>
    </w:p>
    <w:p>
      <w:pPr>
        <w:widowControl/>
        <w:snapToGrid w:val="0"/>
        <w:jc w:val="center"/>
        <w:rPr>
          <w:rFonts w:eastAsia="黑体" w:cs="Times New Roman"/>
          <w:b/>
          <w:bCs/>
          <w:sz w:val="28"/>
          <w:szCs w:val="28"/>
        </w:rPr>
        <w:sectPr>
          <w:pgSz w:w="11906" w:h="16838"/>
          <w:pgMar w:top="1440" w:right="1800" w:bottom="1440" w:left="1800" w:header="851" w:footer="992" w:gutter="0"/>
          <w:pgNumType w:start="1"/>
          <w:cols w:space="425" w:num="1"/>
          <w:docGrid w:type="lines" w:linePitch="312" w:charSpace="0"/>
        </w:sectPr>
      </w:pPr>
      <w:r>
        <w:rPr>
          <w:rFonts w:eastAsia="黑体" w:cs="Times New Roman"/>
          <w:b/>
          <w:bCs/>
          <w:sz w:val="28"/>
          <w:szCs w:val="28"/>
        </w:rPr>
        <w:t>202X   北   京</w:t>
      </w:r>
    </w:p>
    <w:p>
      <w:pPr>
        <w:keepLines/>
        <w:pageBreakBefore/>
        <w:snapToGrid w:val="0"/>
        <w:jc w:val="center"/>
        <w:outlineLvl w:val="0"/>
        <w:rPr>
          <w:rFonts w:cs="Times New Roman"/>
          <w:b/>
          <w:bCs/>
          <w:kern w:val="44"/>
          <w:sz w:val="32"/>
          <w:szCs w:val="20"/>
        </w:rPr>
      </w:pPr>
      <w:bookmarkStart w:id="9" w:name="_Toc153407398"/>
      <w:bookmarkStart w:id="10" w:name="_Toc27220"/>
      <w:bookmarkStart w:id="11" w:name="_Toc26577"/>
      <w:bookmarkStart w:id="12" w:name="_Toc161132116"/>
      <w:bookmarkStart w:id="13" w:name="_Toc1986066"/>
      <w:bookmarkStart w:id="14" w:name="_Toc1984958"/>
      <w:bookmarkStart w:id="15" w:name="_Toc154152187"/>
      <w:bookmarkStart w:id="16" w:name="_Toc3295285"/>
      <w:bookmarkStart w:id="17" w:name="_Toc1986768"/>
      <w:r>
        <w:rPr>
          <w:rFonts w:cs="Times New Roman"/>
          <w:b/>
          <w:bCs/>
          <w:kern w:val="44"/>
          <w:sz w:val="32"/>
          <w:szCs w:val="20"/>
        </w:rPr>
        <w:t>前   言</w:t>
      </w:r>
      <w:bookmarkEnd w:id="9"/>
      <w:bookmarkEnd w:id="10"/>
      <w:bookmarkEnd w:id="11"/>
      <w:bookmarkEnd w:id="12"/>
      <w:bookmarkEnd w:id="13"/>
      <w:bookmarkEnd w:id="14"/>
      <w:bookmarkEnd w:id="15"/>
      <w:bookmarkEnd w:id="16"/>
      <w:bookmarkEnd w:id="17"/>
    </w:p>
    <w:p>
      <w:pPr>
        <w:snapToGrid w:val="0"/>
        <w:ind w:firstLine="480" w:firstLineChars="200"/>
        <w:rPr>
          <w:rFonts w:cs="Times New Roman"/>
          <w:szCs w:val="28"/>
        </w:rPr>
      </w:pPr>
      <w:r>
        <w:rPr>
          <w:rFonts w:cs="Times New Roman"/>
          <w:szCs w:val="28"/>
        </w:rPr>
        <w:t>本标准根据中国建筑学会《关于发布&lt;2022年中国建筑学会标准编制计划（第一批）&gt;的通知》（建会标〔2022〕14号）的要求，由中国建筑技术集团有限公司、四川省建筑设计研究院有限公司会同有关单位编制完成。</w:t>
      </w:r>
    </w:p>
    <w:p>
      <w:pPr>
        <w:widowControl/>
        <w:snapToGrid w:val="0"/>
        <w:ind w:firstLine="480" w:firstLineChars="200"/>
        <w:rPr>
          <w:rFonts w:cs="Times New Roman"/>
          <w:szCs w:val="28"/>
        </w:rPr>
      </w:pPr>
      <w:r>
        <w:rPr>
          <w:rFonts w:cs="Times New Roman"/>
          <w:szCs w:val="28"/>
        </w:rPr>
        <w:t>在本标准编制过程中，编制组广泛调查研究</w:t>
      </w:r>
      <w:r>
        <w:rPr>
          <w:rFonts w:hint="eastAsia"/>
        </w:rPr>
        <w:t>和大量</w:t>
      </w:r>
      <w:r>
        <w:t>试验</w:t>
      </w:r>
      <w:r>
        <w:rPr>
          <w:rFonts w:hint="eastAsia"/>
        </w:rPr>
        <w:t>研究，认真总结实践经验，借鉴国外先进技术，并在广泛征求意见的基础上，编制本规程</w:t>
      </w:r>
      <w:r>
        <w:rPr>
          <w:rFonts w:cs="Times New Roman"/>
          <w:szCs w:val="28"/>
        </w:rPr>
        <w:t>。</w:t>
      </w:r>
    </w:p>
    <w:p>
      <w:pPr>
        <w:snapToGrid w:val="0"/>
        <w:ind w:firstLine="480" w:firstLineChars="200"/>
        <w:rPr>
          <w:rFonts w:cs="Times New Roman"/>
          <w:color w:val="FF0000"/>
        </w:rPr>
      </w:pPr>
      <w:r>
        <w:rPr>
          <w:rFonts w:cs="Times New Roman"/>
          <w:szCs w:val="28"/>
        </w:rPr>
        <w:t>本标准的主要技术内容是：总则</w:t>
      </w:r>
      <w:r>
        <w:rPr>
          <w:rFonts w:hint="eastAsia" w:cs="Times New Roman"/>
          <w:szCs w:val="28"/>
        </w:rPr>
        <w:t>、</w:t>
      </w:r>
      <w:r>
        <w:rPr>
          <w:rFonts w:cs="Times New Roman"/>
          <w:szCs w:val="28"/>
        </w:rPr>
        <w:t>术语和符号</w:t>
      </w:r>
      <w:r>
        <w:rPr>
          <w:rFonts w:hint="eastAsia" w:cs="Times New Roman"/>
          <w:szCs w:val="28"/>
        </w:rPr>
        <w:t>、材料、</w:t>
      </w:r>
      <w:r>
        <w:rPr>
          <w:rFonts w:hint="eastAsia" w:cs="Times New Roman"/>
          <w:color w:val="000000"/>
        </w:rPr>
        <w:t>设计、</w:t>
      </w:r>
      <w:r>
        <w:rPr>
          <w:rFonts w:cs="Times New Roman"/>
          <w:color w:val="000000"/>
        </w:rPr>
        <w:t>施工</w:t>
      </w:r>
      <w:r>
        <w:rPr>
          <w:rFonts w:hint="eastAsia" w:cs="Times New Roman"/>
          <w:color w:val="000000"/>
        </w:rPr>
        <w:t>、</w:t>
      </w:r>
      <w:r>
        <w:rPr>
          <w:rFonts w:cs="Times New Roman"/>
          <w:color w:val="000000"/>
        </w:rPr>
        <w:t>验收。</w:t>
      </w:r>
    </w:p>
    <w:p>
      <w:pPr>
        <w:snapToGrid w:val="0"/>
        <w:ind w:firstLine="480" w:firstLineChars="200"/>
        <w:rPr>
          <w:rFonts w:cs="Times New Roman"/>
          <w:color w:val="FF0000"/>
        </w:rPr>
      </w:pPr>
      <w:r>
        <w:rPr>
          <w:rFonts w:cs="Times New Roman"/>
        </w:rPr>
        <w:t>请注意本文件的某些内容可能涉及专利。本文件的发布机构不承担识别这些专利的责任。</w:t>
      </w:r>
    </w:p>
    <w:p>
      <w:pPr>
        <w:snapToGrid w:val="0"/>
        <w:ind w:firstLine="480" w:firstLineChars="200"/>
        <w:rPr>
          <w:rFonts w:cs="Times New Roman"/>
          <w:color w:val="000000"/>
        </w:rPr>
      </w:pPr>
      <w:r>
        <w:rPr>
          <w:rFonts w:cs="Times New Roman"/>
          <w:szCs w:val="28"/>
        </w:rPr>
        <w:t>本标准由中国建筑学会标准工作委员会负责管理，由中国建筑技术集团有限公司负责具体技术内容的解释。</w:t>
      </w:r>
      <w:r>
        <w:rPr>
          <w:rFonts w:cs="Times New Roman"/>
          <w:color w:val="000000"/>
        </w:rPr>
        <w:t>执行过程中如有修改意见或建议，请寄送</w:t>
      </w:r>
      <w:r>
        <w:rPr>
          <w:rFonts w:cs="Times New Roman"/>
          <w:szCs w:val="28"/>
        </w:rPr>
        <w:t>中国建筑技术集团有限公司</w:t>
      </w:r>
      <w:r>
        <w:rPr>
          <w:rFonts w:cs="Times New Roman"/>
          <w:color w:val="000000"/>
        </w:rPr>
        <w:t>（地址：北京市北三环东路30号；邮政编码：100013；电子邮箱：</w:t>
      </w:r>
      <w:r>
        <w:rPr>
          <w:rFonts w:hint="eastAsia" w:cs="Times New Roman"/>
          <w:color w:val="000000"/>
        </w:rPr>
        <w:t>wjianjun2000@163.com</w:t>
      </w:r>
      <w:r>
        <w:rPr>
          <w:rFonts w:cs="Times New Roman"/>
          <w:color w:val="000000"/>
        </w:rPr>
        <w:t>）。</w:t>
      </w:r>
    </w:p>
    <w:tbl>
      <w:tblPr>
        <w:tblStyle w:val="17"/>
        <w:tblW w:w="0" w:type="auto"/>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2361"/>
        <w:gridCol w:w="173"/>
        <w:gridCol w:w="5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361" w:type="dxa"/>
          </w:tcPr>
          <w:p>
            <w:pPr>
              <w:widowControl/>
              <w:snapToGrid w:val="0"/>
              <w:jc w:val="distribute"/>
              <w:rPr>
                <w:rFonts w:cs="Times New Roman"/>
                <w:color w:val="000000"/>
                <w:kern w:val="0"/>
              </w:rPr>
            </w:pPr>
            <w:r>
              <w:rPr>
                <w:rFonts w:cs="Times New Roman"/>
                <w:color w:val="000000"/>
                <w:kern w:val="0"/>
              </w:rPr>
              <w:t>本标准主编单位</w:t>
            </w:r>
          </w:p>
        </w:tc>
        <w:tc>
          <w:tcPr>
            <w:tcW w:w="173" w:type="dxa"/>
          </w:tcPr>
          <w:p>
            <w:pPr>
              <w:widowControl/>
              <w:snapToGrid w:val="0"/>
              <w:jc w:val="both"/>
              <w:rPr>
                <w:rFonts w:cs="Times New Roman"/>
                <w:color w:val="000000"/>
                <w:spacing w:val="40"/>
                <w:kern w:val="0"/>
              </w:rPr>
            </w:pPr>
            <w:r>
              <w:rPr>
                <w:rFonts w:cs="Times New Roman"/>
                <w:color w:val="000000"/>
                <w:kern w:val="0"/>
              </w:rPr>
              <w:t>：</w:t>
            </w:r>
          </w:p>
        </w:tc>
        <w:tc>
          <w:tcPr>
            <w:tcW w:w="5634" w:type="dxa"/>
          </w:tcPr>
          <w:p>
            <w:pPr>
              <w:widowControl/>
              <w:snapToGrid w:val="0"/>
              <w:jc w:val="both"/>
              <w:rPr>
                <w:rFonts w:cs="Times New Roman"/>
                <w:color w:val="000000"/>
                <w:kern w:val="0"/>
              </w:rPr>
            </w:pPr>
            <w:r>
              <w:rPr>
                <w:rFonts w:cs="Times New Roman"/>
                <w:color w:val="000000"/>
                <w:kern w:val="0"/>
              </w:rPr>
              <w:t>中国建筑技术集团有限公司</w:t>
            </w:r>
          </w:p>
          <w:p>
            <w:pPr>
              <w:widowControl/>
              <w:snapToGrid w:val="0"/>
              <w:jc w:val="both"/>
              <w:rPr>
                <w:rFonts w:cs="Times New Roman"/>
                <w:color w:val="000000"/>
                <w:spacing w:val="40"/>
                <w:kern w:val="0"/>
              </w:rPr>
            </w:pPr>
            <w:r>
              <w:rPr>
                <w:rFonts w:cs="Times New Roman"/>
                <w:szCs w:val="28"/>
              </w:rPr>
              <w:t>四川省建筑设计研究院有限公司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361" w:type="dxa"/>
          </w:tcPr>
          <w:p>
            <w:pPr>
              <w:widowControl/>
              <w:snapToGrid w:val="0"/>
              <w:jc w:val="distribute"/>
              <w:rPr>
                <w:rFonts w:cs="Times New Roman"/>
                <w:color w:val="000000"/>
                <w:kern w:val="0"/>
              </w:rPr>
            </w:pPr>
            <w:r>
              <w:rPr>
                <w:rFonts w:cs="Times New Roman"/>
                <w:color w:val="000000"/>
                <w:kern w:val="0"/>
              </w:rPr>
              <w:t>本标准参编单位</w:t>
            </w:r>
          </w:p>
        </w:tc>
        <w:tc>
          <w:tcPr>
            <w:tcW w:w="173" w:type="dxa"/>
          </w:tcPr>
          <w:p>
            <w:pPr>
              <w:widowControl/>
              <w:snapToGrid w:val="0"/>
              <w:jc w:val="both"/>
              <w:rPr>
                <w:rFonts w:cs="Times New Roman"/>
                <w:color w:val="000000"/>
                <w:spacing w:val="40"/>
                <w:kern w:val="0"/>
              </w:rPr>
            </w:pPr>
            <w:r>
              <w:rPr>
                <w:rFonts w:cs="Times New Roman"/>
                <w:color w:val="000000"/>
                <w:kern w:val="0"/>
              </w:rPr>
              <w:t>：</w:t>
            </w:r>
          </w:p>
        </w:tc>
        <w:tc>
          <w:tcPr>
            <w:tcW w:w="5634" w:type="dxa"/>
          </w:tcPr>
          <w:p>
            <w:pPr>
              <w:widowControl/>
              <w:snapToGrid w:val="0"/>
              <w:jc w:val="both"/>
              <w:rPr>
                <w:rFonts w:cs="Times New Roman"/>
                <w:color w:val="000000"/>
                <w:spacing w:val="40"/>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361" w:type="dxa"/>
          </w:tcPr>
          <w:p>
            <w:pPr>
              <w:widowControl/>
              <w:snapToGrid w:val="0"/>
              <w:jc w:val="distribute"/>
              <w:rPr>
                <w:rFonts w:cs="Times New Roman"/>
                <w:color w:val="000000"/>
                <w:spacing w:val="40"/>
                <w:kern w:val="0"/>
              </w:rPr>
            </w:pPr>
            <w:r>
              <w:rPr>
                <w:rFonts w:cs="Times New Roman"/>
                <w:color w:val="000000"/>
                <w:kern w:val="0"/>
              </w:rPr>
              <w:t>本标准主要起草人员</w:t>
            </w:r>
          </w:p>
        </w:tc>
        <w:tc>
          <w:tcPr>
            <w:tcW w:w="173" w:type="dxa"/>
          </w:tcPr>
          <w:p>
            <w:pPr>
              <w:widowControl/>
              <w:snapToGrid w:val="0"/>
              <w:jc w:val="both"/>
              <w:rPr>
                <w:rFonts w:cs="Times New Roman"/>
                <w:color w:val="000000"/>
                <w:spacing w:val="40"/>
                <w:kern w:val="0"/>
              </w:rPr>
            </w:pPr>
            <w:r>
              <w:rPr>
                <w:rFonts w:cs="Times New Roman"/>
                <w:color w:val="000000"/>
                <w:kern w:val="0"/>
              </w:rPr>
              <w:t>：</w:t>
            </w:r>
          </w:p>
        </w:tc>
        <w:tc>
          <w:tcPr>
            <w:tcW w:w="5634" w:type="dxa"/>
          </w:tcPr>
          <w:p>
            <w:pPr>
              <w:widowControl/>
              <w:snapToGrid w:val="0"/>
              <w:jc w:val="both"/>
              <w:rPr>
                <w:rFonts w:cs="Times New Roman"/>
                <w:color w:val="000000"/>
                <w:spacing w:val="40"/>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361" w:type="dxa"/>
          </w:tcPr>
          <w:p>
            <w:pPr>
              <w:widowControl/>
              <w:snapToGrid w:val="0"/>
              <w:jc w:val="distribute"/>
              <w:rPr>
                <w:rFonts w:cs="Times New Roman"/>
                <w:color w:val="000000"/>
                <w:spacing w:val="40"/>
                <w:kern w:val="0"/>
              </w:rPr>
            </w:pPr>
            <w:r>
              <w:rPr>
                <w:rFonts w:cs="Times New Roman"/>
                <w:color w:val="000000"/>
                <w:kern w:val="0"/>
              </w:rPr>
              <w:t>本标准主要审查人员</w:t>
            </w:r>
          </w:p>
        </w:tc>
        <w:tc>
          <w:tcPr>
            <w:tcW w:w="173" w:type="dxa"/>
          </w:tcPr>
          <w:p>
            <w:pPr>
              <w:widowControl/>
              <w:snapToGrid w:val="0"/>
              <w:jc w:val="both"/>
              <w:rPr>
                <w:rFonts w:cs="Times New Roman"/>
                <w:color w:val="000000"/>
                <w:spacing w:val="40"/>
                <w:kern w:val="0"/>
              </w:rPr>
            </w:pPr>
            <w:r>
              <w:rPr>
                <w:rFonts w:cs="Times New Roman"/>
                <w:color w:val="000000"/>
                <w:kern w:val="0"/>
              </w:rPr>
              <w:t>：</w:t>
            </w:r>
          </w:p>
        </w:tc>
        <w:tc>
          <w:tcPr>
            <w:tcW w:w="5634" w:type="dxa"/>
          </w:tcPr>
          <w:p>
            <w:pPr>
              <w:widowControl/>
              <w:snapToGrid w:val="0"/>
              <w:jc w:val="both"/>
              <w:rPr>
                <w:rFonts w:cs="Times New Roman"/>
                <w:color w:val="000000"/>
                <w:spacing w:val="40"/>
                <w:kern w:val="0"/>
              </w:rPr>
            </w:pPr>
          </w:p>
        </w:tc>
      </w:tr>
    </w:tbl>
    <w:p>
      <w:pPr>
        <w:widowControl/>
        <w:snapToGrid w:val="0"/>
        <w:ind w:firstLine="480" w:firstLineChars="150"/>
        <w:rPr>
          <w:rFonts w:cs="Times New Roman"/>
          <w:color w:val="000000"/>
          <w:spacing w:val="40"/>
          <w:kern w:val="0"/>
        </w:rPr>
      </w:pPr>
    </w:p>
    <w:p>
      <w:pPr>
        <w:snapToGrid w:val="0"/>
        <w:ind w:firstLine="1440" w:firstLineChars="600"/>
        <w:rPr>
          <w:rFonts w:cs="Times New Roman"/>
          <w:szCs w:val="28"/>
        </w:rPr>
      </w:pPr>
      <w:r>
        <w:rPr>
          <w:rFonts w:hint="eastAsia" w:cs="Times New Roman"/>
          <w:szCs w:val="28"/>
        </w:rPr>
        <w:t xml:space="preserve">  </w:t>
      </w:r>
    </w:p>
    <w:p>
      <w:pPr>
        <w:snapToGrid w:val="0"/>
        <w:jc w:val="center"/>
        <w:rPr>
          <w:rStyle w:val="24"/>
          <w:rFonts w:ascii="Times New Roman" w:hAnsi="Times New Roman" w:cs="Times New Roman"/>
        </w:rPr>
        <w:sectPr>
          <w:footerReference r:id="rId6" w:type="default"/>
          <w:pgSz w:w="11906" w:h="16838"/>
          <w:pgMar w:top="1440" w:right="1800" w:bottom="1440" w:left="1800" w:header="851" w:footer="992" w:gutter="0"/>
          <w:pgNumType w:start="1"/>
          <w:cols w:space="425" w:num="1"/>
          <w:docGrid w:type="lines" w:linePitch="312" w:charSpace="0"/>
        </w:sectPr>
      </w:pPr>
    </w:p>
    <w:p>
      <w:pPr>
        <w:snapToGrid w:val="0"/>
        <w:spacing w:line="276" w:lineRule="auto"/>
        <w:jc w:val="center"/>
        <w:rPr>
          <w:rFonts w:cs="Times New Roman"/>
        </w:rPr>
      </w:pPr>
      <w:bookmarkStart w:id="18" w:name="_Toc154152188"/>
      <w:bookmarkStart w:id="19" w:name="_Toc161132117"/>
      <w:bookmarkStart w:id="20" w:name="_Toc23290"/>
      <w:bookmarkStart w:id="21" w:name="_Toc153407399"/>
      <w:bookmarkStart w:id="22" w:name="_Toc1878"/>
      <w:r>
        <w:rPr>
          <w:rStyle w:val="24"/>
          <w:rFonts w:ascii="Times New Roman" w:hAnsi="Times New Roman" w:cs="Times New Roman"/>
        </w:rPr>
        <w:t>目  录</w:t>
      </w:r>
      <w:bookmarkEnd w:id="0"/>
      <w:bookmarkEnd w:id="1"/>
      <w:bookmarkEnd w:id="2"/>
      <w:bookmarkEnd w:id="3"/>
      <w:bookmarkEnd w:id="4"/>
      <w:bookmarkEnd w:id="5"/>
      <w:bookmarkEnd w:id="6"/>
      <w:bookmarkEnd w:id="18"/>
      <w:bookmarkEnd w:id="19"/>
      <w:bookmarkEnd w:id="20"/>
      <w:bookmarkEnd w:id="21"/>
      <w:bookmarkEnd w:id="22"/>
      <w:bookmarkStart w:id="23" w:name="_Toc4713"/>
      <w:bookmarkStart w:id="24" w:name="_Toc5724"/>
      <w:r>
        <w:rPr>
          <w:rFonts w:cs="Times New Roman"/>
        </w:rPr>
        <w:fldChar w:fldCharType="begin"/>
      </w:r>
      <w:r>
        <w:rPr>
          <w:rFonts w:cs="Times New Roman"/>
        </w:rPr>
        <w:instrText xml:space="preserve">TOC \o "1-2" \h \u </w:instrText>
      </w:r>
      <w:r>
        <w:rPr>
          <w:rFonts w:cs="Times New Roman"/>
        </w:rPr>
        <w:fldChar w:fldCharType="separate"/>
      </w:r>
    </w:p>
    <w:p>
      <w:pPr>
        <w:pStyle w:val="12"/>
        <w:tabs>
          <w:tab w:val="right" w:leader="dot" w:pos="8306"/>
        </w:tabs>
      </w:pPr>
      <w:r>
        <w:fldChar w:fldCharType="begin"/>
      </w:r>
      <w:r>
        <w:instrText xml:space="preserve"> HYPERLINK \l "_Toc4902" </w:instrText>
      </w:r>
      <w:r>
        <w:fldChar w:fldCharType="separate"/>
      </w:r>
      <w:r>
        <w:rPr>
          <w:rFonts w:cs="Times New Roman"/>
        </w:rPr>
        <w:t>1  总  则</w:t>
      </w:r>
      <w:r>
        <w:tab/>
      </w:r>
      <w:r>
        <w:fldChar w:fldCharType="begin"/>
      </w:r>
      <w:r>
        <w:instrText xml:space="preserve"> PAGEREF _Toc4902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"_Toc152" </w:instrText>
      </w:r>
      <w:r>
        <w:fldChar w:fldCharType="separate"/>
      </w:r>
      <w:r>
        <w:rPr>
          <w:rFonts w:cs="Times New Roman"/>
        </w:rPr>
        <w:t>2  术语和符号</w:t>
      </w:r>
      <w:r>
        <w:tab/>
      </w:r>
      <w:r>
        <w:fldChar w:fldCharType="begin"/>
      </w:r>
      <w:r>
        <w:instrText xml:space="preserve"> PAGEREF _Toc152 \h </w:instrText>
      </w:r>
      <w:r>
        <w:fldChar w:fldCharType="separate"/>
      </w:r>
      <w:r>
        <w:t>2</w:t>
      </w:r>
      <w:r>
        <w:fldChar w:fldCharType="end"/>
      </w:r>
      <w:r>
        <w:fldChar w:fldCharType="end"/>
      </w:r>
    </w:p>
    <w:p>
      <w:pPr>
        <w:pStyle w:val="13"/>
        <w:tabs>
          <w:tab w:val="right" w:leader="dot" w:pos="8306"/>
        </w:tabs>
        <w:ind w:left="480"/>
      </w:pPr>
      <w:r>
        <w:fldChar w:fldCharType="begin"/>
      </w:r>
      <w:r>
        <w:instrText xml:space="preserve"> HYPERLINK \l "_Toc15884" </w:instrText>
      </w:r>
      <w:r>
        <w:fldChar w:fldCharType="separate"/>
      </w:r>
      <w:r>
        <w:rPr>
          <w:rFonts w:hint="eastAsia" w:cs="Times New Roman"/>
        </w:rPr>
        <w:t>2</w:t>
      </w:r>
      <w:r>
        <w:rPr>
          <w:rFonts w:cs="Times New Roman"/>
        </w:rPr>
        <w:t>.1  </w:t>
      </w:r>
      <w:r>
        <w:rPr>
          <w:rFonts w:hint="eastAsia" w:cs="Times New Roman"/>
        </w:rPr>
        <w:t>术语</w:t>
      </w:r>
      <w:r>
        <w:tab/>
      </w:r>
      <w:r>
        <w:fldChar w:fldCharType="begin"/>
      </w:r>
      <w:r>
        <w:instrText xml:space="preserve"> PAGEREF _Toc15884 \h </w:instrText>
      </w:r>
      <w:r>
        <w:fldChar w:fldCharType="separate"/>
      </w:r>
      <w:r>
        <w:t>2</w:t>
      </w:r>
      <w:r>
        <w:fldChar w:fldCharType="end"/>
      </w:r>
      <w:r>
        <w:fldChar w:fldCharType="end"/>
      </w:r>
    </w:p>
    <w:p>
      <w:pPr>
        <w:pStyle w:val="13"/>
        <w:tabs>
          <w:tab w:val="right" w:leader="dot" w:pos="8306"/>
        </w:tabs>
        <w:ind w:left="480"/>
      </w:pPr>
      <w:r>
        <w:fldChar w:fldCharType="begin"/>
      </w:r>
      <w:r>
        <w:instrText xml:space="preserve"> HYPERLINK \l "_Toc25287" </w:instrText>
      </w:r>
      <w:r>
        <w:fldChar w:fldCharType="separate"/>
      </w:r>
      <w:r>
        <w:rPr>
          <w:rFonts w:hint="eastAsia" w:cs="Times New Roman"/>
        </w:rPr>
        <w:t>2</w:t>
      </w:r>
      <w:r>
        <w:rPr>
          <w:rFonts w:cs="Times New Roman"/>
        </w:rPr>
        <w:t>.</w:t>
      </w:r>
      <w:r>
        <w:rPr>
          <w:rFonts w:hint="eastAsia" w:cs="Times New Roman"/>
        </w:rPr>
        <w:t>2</w:t>
      </w:r>
      <w:r>
        <w:rPr>
          <w:rFonts w:cs="Times New Roman"/>
        </w:rPr>
        <w:t>  </w:t>
      </w:r>
      <w:r>
        <w:rPr>
          <w:rFonts w:hint="eastAsia" w:cs="Times New Roman"/>
        </w:rPr>
        <w:t>符号</w:t>
      </w:r>
      <w:r>
        <w:tab/>
      </w:r>
      <w:r>
        <w:fldChar w:fldCharType="begin"/>
      </w:r>
      <w:r>
        <w:instrText xml:space="preserve"> PAGEREF _Toc25287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"_Toc20998" </w:instrText>
      </w:r>
      <w:r>
        <w:fldChar w:fldCharType="separate"/>
      </w:r>
      <w:r>
        <w:rPr>
          <w:rFonts w:cs="Times New Roman"/>
        </w:rPr>
        <w:t>3  材  料</w:t>
      </w:r>
      <w:r>
        <w:tab/>
      </w:r>
      <w:r>
        <w:fldChar w:fldCharType="begin"/>
      </w:r>
      <w:r>
        <w:instrText xml:space="preserve"> PAGEREF _Toc20998 \h </w:instrText>
      </w:r>
      <w:r>
        <w:fldChar w:fldCharType="separate"/>
      </w:r>
      <w:r>
        <w:t>4</w:t>
      </w:r>
      <w:r>
        <w:fldChar w:fldCharType="end"/>
      </w:r>
      <w:r>
        <w:fldChar w:fldCharType="end"/>
      </w:r>
    </w:p>
    <w:p>
      <w:pPr>
        <w:pStyle w:val="13"/>
        <w:tabs>
          <w:tab w:val="right" w:leader="dot" w:pos="8306"/>
        </w:tabs>
        <w:ind w:left="480"/>
      </w:pPr>
      <w:r>
        <w:fldChar w:fldCharType="begin"/>
      </w:r>
      <w:r>
        <w:instrText xml:space="preserve"> HYPERLINK \l "_Toc19944" </w:instrText>
      </w:r>
      <w:r>
        <w:fldChar w:fldCharType="separate"/>
      </w:r>
      <w:r>
        <w:rPr>
          <w:rFonts w:cs="Times New Roman"/>
        </w:rPr>
        <w:t>3.1  一般规定</w:t>
      </w:r>
      <w:r>
        <w:tab/>
      </w:r>
      <w:r>
        <w:fldChar w:fldCharType="begin"/>
      </w:r>
      <w:r>
        <w:instrText xml:space="preserve"> PAGEREF _Toc19944 \h </w:instrText>
      </w:r>
      <w:r>
        <w:fldChar w:fldCharType="separate"/>
      </w:r>
      <w:r>
        <w:t>4</w:t>
      </w:r>
      <w:r>
        <w:fldChar w:fldCharType="end"/>
      </w:r>
      <w:r>
        <w:fldChar w:fldCharType="end"/>
      </w:r>
    </w:p>
    <w:p>
      <w:pPr>
        <w:pStyle w:val="13"/>
        <w:tabs>
          <w:tab w:val="right" w:leader="dot" w:pos="8306"/>
        </w:tabs>
        <w:ind w:left="480"/>
      </w:pPr>
      <w:r>
        <w:fldChar w:fldCharType="begin"/>
      </w:r>
      <w:r>
        <w:instrText xml:space="preserve"> HYPERLINK \l "_Toc6031" </w:instrText>
      </w:r>
      <w:r>
        <w:fldChar w:fldCharType="separate"/>
      </w:r>
      <w:r>
        <w:rPr>
          <w:rFonts w:cs="Times New Roman"/>
        </w:rPr>
        <w:t>3.2  墙面板</w:t>
      </w:r>
      <w:r>
        <w:tab/>
      </w:r>
      <w:r>
        <w:fldChar w:fldCharType="begin"/>
      </w:r>
      <w:r>
        <w:instrText xml:space="preserve"> PAGEREF _Toc6031 \h </w:instrText>
      </w:r>
      <w:r>
        <w:fldChar w:fldCharType="separate"/>
      </w:r>
      <w:r>
        <w:t>4</w:t>
      </w:r>
      <w:r>
        <w:fldChar w:fldCharType="end"/>
      </w:r>
      <w:r>
        <w:fldChar w:fldCharType="end"/>
      </w:r>
    </w:p>
    <w:p>
      <w:pPr>
        <w:pStyle w:val="13"/>
        <w:tabs>
          <w:tab w:val="right" w:leader="dot" w:pos="8306"/>
        </w:tabs>
        <w:ind w:left="480"/>
      </w:pPr>
      <w:r>
        <w:fldChar w:fldCharType="begin"/>
      </w:r>
      <w:r>
        <w:instrText xml:space="preserve"> HYPERLINK \l "_Toc29731" </w:instrText>
      </w:r>
      <w:r>
        <w:fldChar w:fldCharType="separate"/>
      </w:r>
      <w:r>
        <w:rPr>
          <w:rFonts w:cs="Times New Roman"/>
        </w:rPr>
        <w:t>3.3  </w:t>
      </w:r>
      <w:r>
        <w:rPr>
          <w:rFonts w:hint="eastAsia" w:cs="Times New Roman"/>
        </w:rPr>
        <w:t>注仓</w:t>
      </w:r>
      <w:r>
        <w:rPr>
          <w:rFonts w:cs="Times New Roman"/>
        </w:rPr>
        <w:t>料</w:t>
      </w:r>
      <w:r>
        <w:tab/>
      </w:r>
      <w:r>
        <w:fldChar w:fldCharType="begin"/>
      </w:r>
      <w:r>
        <w:instrText xml:space="preserve"> PAGEREF _Toc29731 \h </w:instrText>
      </w:r>
      <w:r>
        <w:fldChar w:fldCharType="separate"/>
      </w:r>
      <w:r>
        <w:t>4</w:t>
      </w:r>
      <w:r>
        <w:fldChar w:fldCharType="end"/>
      </w:r>
      <w:r>
        <w:fldChar w:fldCharType="end"/>
      </w:r>
    </w:p>
    <w:p>
      <w:pPr>
        <w:pStyle w:val="13"/>
        <w:tabs>
          <w:tab w:val="right" w:leader="dot" w:pos="8306"/>
        </w:tabs>
        <w:ind w:left="480"/>
      </w:pPr>
      <w:r>
        <w:fldChar w:fldCharType="begin"/>
      </w:r>
      <w:r>
        <w:instrText xml:space="preserve"> HYPERLINK \l "_Toc7554" </w:instrText>
      </w:r>
      <w:r>
        <w:fldChar w:fldCharType="separate"/>
      </w:r>
      <w:r>
        <w:rPr>
          <w:rFonts w:cs="Times New Roman"/>
        </w:rPr>
        <w:t>3.4  保温</w:t>
      </w:r>
      <w:r>
        <w:rPr>
          <w:rFonts w:hint="eastAsia" w:cs="Times New Roman"/>
        </w:rPr>
        <w:t>板</w:t>
      </w:r>
      <w:r>
        <w:tab/>
      </w:r>
      <w:r>
        <w:fldChar w:fldCharType="begin"/>
      </w:r>
      <w:r>
        <w:instrText xml:space="preserve"> PAGEREF _Toc7554 \h </w:instrText>
      </w:r>
      <w:r>
        <w:fldChar w:fldCharType="separate"/>
      </w:r>
      <w:r>
        <w:t>6</w:t>
      </w:r>
      <w:r>
        <w:fldChar w:fldCharType="end"/>
      </w:r>
      <w:r>
        <w:fldChar w:fldCharType="end"/>
      </w:r>
    </w:p>
    <w:p>
      <w:pPr>
        <w:pStyle w:val="13"/>
        <w:tabs>
          <w:tab w:val="right" w:leader="dot" w:pos="8306"/>
        </w:tabs>
        <w:ind w:left="480"/>
      </w:pPr>
      <w:r>
        <w:fldChar w:fldCharType="begin"/>
      </w:r>
      <w:r>
        <w:instrText xml:space="preserve"> HYPERLINK \l "_Toc24836" </w:instrText>
      </w:r>
      <w:r>
        <w:fldChar w:fldCharType="separate"/>
      </w:r>
      <w:r>
        <w:rPr>
          <w:rFonts w:hint="eastAsia" w:cs="Times New Roman"/>
        </w:rPr>
        <w:t>3.5</w:t>
      </w:r>
      <w:r>
        <w:rPr>
          <w:rFonts w:hint="eastAsia" w:cs="宋体"/>
        </w:rPr>
        <w:t> </w:t>
      </w:r>
      <w:r>
        <w:rPr>
          <w:rFonts w:hint="eastAsia"/>
        </w:rPr>
        <w:t>钢丝</w:t>
      </w:r>
      <w:r>
        <w:tab/>
      </w:r>
      <w:r>
        <w:fldChar w:fldCharType="begin"/>
      </w:r>
      <w:r>
        <w:instrText xml:space="preserve"> PAGEREF _Toc24836 \h </w:instrText>
      </w:r>
      <w:r>
        <w:fldChar w:fldCharType="separate"/>
      </w:r>
      <w:r>
        <w:t>8</w:t>
      </w:r>
      <w:r>
        <w:fldChar w:fldCharType="end"/>
      </w:r>
      <w:r>
        <w:fldChar w:fldCharType="end"/>
      </w:r>
    </w:p>
    <w:p>
      <w:pPr>
        <w:pStyle w:val="13"/>
        <w:tabs>
          <w:tab w:val="right" w:leader="dot" w:pos="8306"/>
        </w:tabs>
        <w:ind w:left="480"/>
      </w:pPr>
      <w:r>
        <w:fldChar w:fldCharType="begin"/>
      </w:r>
      <w:r>
        <w:instrText xml:space="preserve"> HYPERLINK \l "_Toc8396" </w:instrText>
      </w:r>
      <w:r>
        <w:fldChar w:fldCharType="separate"/>
      </w:r>
      <w:r>
        <w:rPr>
          <w:rFonts w:cs="Times New Roman"/>
        </w:rPr>
        <w:t>3.</w:t>
      </w:r>
      <w:r>
        <w:rPr>
          <w:rFonts w:hint="eastAsia" w:cs="Times New Roman"/>
        </w:rPr>
        <w:t>6</w:t>
      </w:r>
      <w:r>
        <w:rPr>
          <w:rFonts w:cs="Times New Roman"/>
        </w:rPr>
        <w:t>  连接材料</w:t>
      </w:r>
      <w:r>
        <w:tab/>
      </w:r>
      <w:r>
        <w:fldChar w:fldCharType="begin"/>
      </w:r>
      <w:r>
        <w:instrText xml:space="preserve"> PAGEREF _Toc8396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"_Toc9977" </w:instrText>
      </w:r>
      <w:r>
        <w:fldChar w:fldCharType="separate"/>
      </w:r>
      <w:r>
        <w:rPr>
          <w:rFonts w:cs="Times New Roman"/>
        </w:rPr>
        <w:t>4  设  计</w:t>
      </w:r>
      <w:r>
        <w:tab/>
      </w:r>
      <w:r>
        <w:fldChar w:fldCharType="begin"/>
      </w:r>
      <w:r>
        <w:instrText xml:space="preserve"> PAGEREF _Toc9977 \h </w:instrText>
      </w:r>
      <w:r>
        <w:fldChar w:fldCharType="separate"/>
      </w:r>
      <w:r>
        <w:t>10</w:t>
      </w:r>
      <w:r>
        <w:fldChar w:fldCharType="end"/>
      </w:r>
      <w:r>
        <w:fldChar w:fldCharType="end"/>
      </w:r>
    </w:p>
    <w:p>
      <w:pPr>
        <w:pStyle w:val="13"/>
        <w:tabs>
          <w:tab w:val="right" w:leader="dot" w:pos="8306"/>
        </w:tabs>
        <w:ind w:left="480"/>
      </w:pPr>
      <w:r>
        <w:fldChar w:fldCharType="begin"/>
      </w:r>
      <w:r>
        <w:instrText xml:space="preserve"> HYPERLINK \l "_Toc22163" </w:instrText>
      </w:r>
      <w:r>
        <w:fldChar w:fldCharType="separate"/>
      </w:r>
      <w:r>
        <w:rPr>
          <w:rFonts w:cs="Times New Roman"/>
        </w:rPr>
        <w:t>4.1  一般规定</w:t>
      </w:r>
      <w:r>
        <w:tab/>
      </w:r>
      <w:r>
        <w:fldChar w:fldCharType="begin"/>
      </w:r>
      <w:r>
        <w:instrText xml:space="preserve"> PAGEREF _Toc22163 \h </w:instrText>
      </w:r>
      <w:r>
        <w:fldChar w:fldCharType="separate"/>
      </w:r>
      <w:r>
        <w:t>10</w:t>
      </w:r>
      <w:r>
        <w:fldChar w:fldCharType="end"/>
      </w:r>
      <w:r>
        <w:fldChar w:fldCharType="end"/>
      </w:r>
    </w:p>
    <w:p>
      <w:pPr>
        <w:pStyle w:val="13"/>
        <w:tabs>
          <w:tab w:val="right" w:leader="dot" w:pos="8306"/>
        </w:tabs>
        <w:ind w:left="480"/>
      </w:pPr>
      <w:r>
        <w:fldChar w:fldCharType="begin"/>
      </w:r>
      <w:r>
        <w:instrText xml:space="preserve"> HYPERLINK \l "_Toc2387" </w:instrText>
      </w:r>
      <w:r>
        <w:fldChar w:fldCharType="separate"/>
      </w:r>
      <w:r>
        <w:rPr>
          <w:rFonts w:cs="Times New Roman"/>
        </w:rPr>
        <w:t>4.</w:t>
      </w:r>
      <w:r>
        <w:rPr>
          <w:rFonts w:hint="eastAsia" w:cs="Times New Roman"/>
        </w:rPr>
        <w:t>2</w:t>
      </w:r>
      <w:r>
        <w:rPr>
          <w:rFonts w:cs="Times New Roman"/>
        </w:rPr>
        <w:t>  结构设计</w:t>
      </w:r>
      <w:r>
        <w:tab/>
      </w:r>
      <w:r>
        <w:fldChar w:fldCharType="begin"/>
      </w:r>
      <w:r>
        <w:instrText xml:space="preserve"> PAGEREF _Toc2387 \h </w:instrText>
      </w:r>
      <w:r>
        <w:fldChar w:fldCharType="separate"/>
      </w:r>
      <w:r>
        <w:t>12</w:t>
      </w:r>
      <w:r>
        <w:fldChar w:fldCharType="end"/>
      </w:r>
      <w:r>
        <w:fldChar w:fldCharType="end"/>
      </w:r>
    </w:p>
    <w:p>
      <w:pPr>
        <w:pStyle w:val="13"/>
        <w:tabs>
          <w:tab w:val="right" w:leader="dot" w:pos="8306"/>
        </w:tabs>
        <w:ind w:left="480"/>
      </w:pPr>
      <w:r>
        <w:fldChar w:fldCharType="begin"/>
      </w:r>
      <w:r>
        <w:instrText xml:space="preserve"> HYPERLINK \l "_Toc21662" </w:instrText>
      </w:r>
      <w:r>
        <w:fldChar w:fldCharType="separate"/>
      </w:r>
      <w:r>
        <w:rPr>
          <w:rFonts w:cs="Times New Roman"/>
        </w:rPr>
        <w:t>4.</w:t>
      </w:r>
      <w:r>
        <w:rPr>
          <w:rFonts w:hint="eastAsia" w:cs="Times New Roman"/>
        </w:rPr>
        <w:t>3</w:t>
      </w:r>
      <w:r>
        <w:rPr>
          <w:rFonts w:cs="Times New Roman"/>
        </w:rPr>
        <w:t>  </w:t>
      </w:r>
      <w:r>
        <w:rPr>
          <w:rFonts w:hint="eastAsia" w:cs="Times New Roman"/>
        </w:rPr>
        <w:t>节能</w:t>
      </w:r>
      <w:r>
        <w:rPr>
          <w:rFonts w:cs="Times New Roman"/>
        </w:rPr>
        <w:t>设计</w:t>
      </w:r>
      <w:r>
        <w:tab/>
      </w:r>
      <w:r>
        <w:fldChar w:fldCharType="begin"/>
      </w:r>
      <w:r>
        <w:instrText xml:space="preserve"> PAGEREF _Toc21662 \h </w:instrText>
      </w:r>
      <w:r>
        <w:fldChar w:fldCharType="separate"/>
      </w:r>
      <w:r>
        <w:t>15</w:t>
      </w:r>
      <w:r>
        <w:fldChar w:fldCharType="end"/>
      </w:r>
      <w:r>
        <w:fldChar w:fldCharType="end"/>
      </w:r>
    </w:p>
    <w:p>
      <w:pPr>
        <w:pStyle w:val="13"/>
        <w:tabs>
          <w:tab w:val="right" w:leader="dot" w:pos="8306"/>
        </w:tabs>
        <w:ind w:left="480"/>
      </w:pPr>
      <w:r>
        <w:fldChar w:fldCharType="begin"/>
      </w:r>
      <w:r>
        <w:instrText xml:space="preserve"> HYPERLINK \l "_Toc3978" </w:instrText>
      </w:r>
      <w:r>
        <w:fldChar w:fldCharType="separate"/>
      </w:r>
      <w:r>
        <w:rPr>
          <w:rFonts w:cs="Times New Roman"/>
        </w:rPr>
        <w:t>4.4  构造措施</w:t>
      </w:r>
      <w:r>
        <w:tab/>
      </w:r>
      <w:r>
        <w:fldChar w:fldCharType="begin"/>
      </w:r>
      <w:r>
        <w:instrText xml:space="preserve"> PAGEREF _Toc3978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"_Toc29195" </w:instrText>
      </w:r>
      <w:r>
        <w:fldChar w:fldCharType="separate"/>
      </w:r>
      <w:r>
        <w:rPr>
          <w:rFonts w:cs="Times New Roman"/>
        </w:rPr>
        <w:t>5  施  工</w:t>
      </w:r>
      <w:r>
        <w:tab/>
      </w:r>
      <w:r>
        <w:fldChar w:fldCharType="begin"/>
      </w:r>
      <w:r>
        <w:instrText xml:space="preserve"> PAGEREF _Toc29195 \h </w:instrText>
      </w:r>
      <w:r>
        <w:fldChar w:fldCharType="separate"/>
      </w:r>
      <w:r>
        <w:t>23</w:t>
      </w:r>
      <w:r>
        <w:fldChar w:fldCharType="end"/>
      </w:r>
      <w:r>
        <w:fldChar w:fldCharType="end"/>
      </w:r>
    </w:p>
    <w:p>
      <w:pPr>
        <w:pStyle w:val="13"/>
        <w:tabs>
          <w:tab w:val="right" w:leader="dot" w:pos="8306"/>
        </w:tabs>
        <w:ind w:left="480"/>
      </w:pPr>
      <w:r>
        <w:fldChar w:fldCharType="begin"/>
      </w:r>
      <w:r>
        <w:instrText xml:space="preserve"> HYPERLINK \l "_Toc5036" </w:instrText>
      </w:r>
      <w:r>
        <w:fldChar w:fldCharType="separate"/>
      </w:r>
      <w:r>
        <w:rPr>
          <w:rFonts w:cs="Times New Roman"/>
        </w:rPr>
        <w:t>5.1  一般规定</w:t>
      </w:r>
      <w:r>
        <w:tab/>
      </w:r>
      <w:r>
        <w:fldChar w:fldCharType="begin"/>
      </w:r>
      <w:r>
        <w:instrText xml:space="preserve"> PAGEREF _Toc5036 \h </w:instrText>
      </w:r>
      <w:r>
        <w:fldChar w:fldCharType="separate"/>
      </w:r>
      <w:r>
        <w:t>23</w:t>
      </w:r>
      <w:r>
        <w:fldChar w:fldCharType="end"/>
      </w:r>
      <w:r>
        <w:fldChar w:fldCharType="end"/>
      </w:r>
    </w:p>
    <w:p>
      <w:pPr>
        <w:pStyle w:val="13"/>
        <w:tabs>
          <w:tab w:val="right" w:leader="dot" w:pos="8306"/>
        </w:tabs>
        <w:ind w:left="480"/>
      </w:pPr>
      <w:r>
        <w:fldChar w:fldCharType="begin"/>
      </w:r>
      <w:r>
        <w:instrText xml:space="preserve"> HYPERLINK \l "_Toc2701" </w:instrText>
      </w:r>
      <w:r>
        <w:fldChar w:fldCharType="separate"/>
      </w:r>
      <w:r>
        <w:rPr>
          <w:rFonts w:cs="Times New Roman"/>
        </w:rPr>
        <w:t>5.2  预制构件安装</w:t>
      </w:r>
      <w:r>
        <w:tab/>
      </w:r>
      <w:r>
        <w:fldChar w:fldCharType="begin"/>
      </w:r>
      <w:r>
        <w:instrText xml:space="preserve"> PAGEREF _Toc2701 \h </w:instrText>
      </w:r>
      <w:r>
        <w:fldChar w:fldCharType="separate"/>
      </w:r>
      <w:r>
        <w:t>24</w:t>
      </w:r>
      <w:r>
        <w:fldChar w:fldCharType="end"/>
      </w:r>
      <w:r>
        <w:fldChar w:fldCharType="end"/>
      </w:r>
    </w:p>
    <w:p>
      <w:pPr>
        <w:pStyle w:val="13"/>
        <w:tabs>
          <w:tab w:val="right" w:leader="dot" w:pos="8306"/>
        </w:tabs>
        <w:ind w:left="480"/>
      </w:pPr>
      <w:r>
        <w:fldChar w:fldCharType="begin"/>
      </w:r>
      <w:r>
        <w:instrText xml:space="preserve"> HYPERLINK \l "_Toc11535" </w:instrText>
      </w:r>
      <w:r>
        <w:fldChar w:fldCharType="separate"/>
      </w:r>
      <w:r>
        <w:rPr>
          <w:rFonts w:cs="Times New Roman"/>
        </w:rPr>
        <w:t>5.3  管线和保温</w:t>
      </w:r>
      <w:r>
        <w:rPr>
          <w:rFonts w:hint="eastAsia" w:cs="Times New Roman"/>
        </w:rPr>
        <w:t>板</w:t>
      </w:r>
      <w:r>
        <w:rPr>
          <w:rFonts w:cs="Times New Roman"/>
        </w:rPr>
        <w:t>安装</w:t>
      </w:r>
      <w:r>
        <w:tab/>
      </w:r>
      <w:r>
        <w:fldChar w:fldCharType="begin"/>
      </w:r>
      <w:r>
        <w:instrText xml:space="preserve"> PAGEREF _Toc11535 \h </w:instrText>
      </w:r>
      <w:r>
        <w:fldChar w:fldCharType="separate"/>
      </w:r>
      <w:r>
        <w:t>24</w:t>
      </w:r>
      <w:r>
        <w:fldChar w:fldCharType="end"/>
      </w:r>
      <w:r>
        <w:fldChar w:fldCharType="end"/>
      </w:r>
    </w:p>
    <w:p>
      <w:pPr>
        <w:pStyle w:val="13"/>
        <w:tabs>
          <w:tab w:val="right" w:leader="dot" w:pos="8306"/>
        </w:tabs>
        <w:ind w:left="480"/>
      </w:pPr>
      <w:r>
        <w:fldChar w:fldCharType="begin"/>
      </w:r>
      <w:r>
        <w:instrText xml:space="preserve"> HYPERLINK \l "_Toc8395" </w:instrText>
      </w:r>
      <w:r>
        <w:fldChar w:fldCharType="separate"/>
      </w:r>
      <w:r>
        <w:rPr>
          <w:rFonts w:cs="Times New Roman"/>
        </w:rPr>
        <w:t>5.4  工具式模板安装</w:t>
      </w:r>
      <w:r>
        <w:tab/>
      </w:r>
      <w:r>
        <w:fldChar w:fldCharType="begin"/>
      </w:r>
      <w:r>
        <w:instrText xml:space="preserve"> PAGEREF _Toc8395 \h </w:instrText>
      </w:r>
      <w:r>
        <w:fldChar w:fldCharType="separate"/>
      </w:r>
      <w:r>
        <w:t>25</w:t>
      </w:r>
      <w:r>
        <w:fldChar w:fldCharType="end"/>
      </w:r>
      <w:r>
        <w:fldChar w:fldCharType="end"/>
      </w:r>
    </w:p>
    <w:p>
      <w:pPr>
        <w:pStyle w:val="13"/>
        <w:tabs>
          <w:tab w:val="right" w:leader="dot" w:pos="8306"/>
        </w:tabs>
        <w:ind w:left="480"/>
      </w:pPr>
      <w:r>
        <w:fldChar w:fldCharType="begin"/>
      </w:r>
      <w:r>
        <w:instrText xml:space="preserve"> HYPERLINK \l "_Toc8638" </w:instrText>
      </w:r>
      <w:r>
        <w:fldChar w:fldCharType="separate"/>
      </w:r>
      <w:r>
        <w:rPr>
          <w:rFonts w:cs="Times New Roman"/>
        </w:rPr>
        <w:t>5.5  </w:t>
      </w:r>
      <w:r>
        <w:rPr>
          <w:rFonts w:hint="eastAsia" w:cs="Times New Roman"/>
        </w:rPr>
        <w:t>注仓</w:t>
      </w:r>
      <w:r>
        <w:rPr>
          <w:rFonts w:cs="Times New Roman"/>
        </w:rPr>
        <w:t>料施工</w:t>
      </w:r>
      <w:r>
        <w:tab/>
      </w:r>
      <w:r>
        <w:fldChar w:fldCharType="begin"/>
      </w:r>
      <w:r>
        <w:instrText xml:space="preserve"> PAGEREF _Toc8638 \h </w:instrText>
      </w:r>
      <w:r>
        <w:fldChar w:fldCharType="separate"/>
      </w:r>
      <w:r>
        <w:t>25</w:t>
      </w:r>
      <w:r>
        <w:fldChar w:fldCharType="end"/>
      </w:r>
      <w:r>
        <w:fldChar w:fldCharType="end"/>
      </w:r>
    </w:p>
    <w:p>
      <w:pPr>
        <w:pStyle w:val="13"/>
        <w:tabs>
          <w:tab w:val="right" w:leader="dot" w:pos="8306"/>
        </w:tabs>
        <w:ind w:left="480"/>
      </w:pPr>
      <w:r>
        <w:fldChar w:fldCharType="begin"/>
      </w:r>
      <w:r>
        <w:instrText xml:space="preserve"> HYPERLINK \l "_Toc159" </w:instrText>
      </w:r>
      <w:r>
        <w:fldChar w:fldCharType="separate"/>
      </w:r>
      <w:r>
        <w:rPr>
          <w:rFonts w:cs="Times New Roman"/>
        </w:rPr>
        <w:t>5.</w:t>
      </w:r>
      <w:r>
        <w:rPr>
          <w:rFonts w:hint="eastAsia" w:cs="Times New Roman"/>
        </w:rPr>
        <w:t>6</w:t>
      </w:r>
      <w:r>
        <w:rPr>
          <w:rFonts w:cs="Times New Roman"/>
        </w:rPr>
        <w:t>  </w:t>
      </w:r>
      <w:r>
        <w:rPr>
          <w:rFonts w:hint="eastAsia" w:cs="Times New Roman"/>
        </w:rPr>
        <w:t>绿色</w:t>
      </w:r>
      <w:r>
        <w:rPr>
          <w:rFonts w:cs="Times New Roman"/>
        </w:rPr>
        <w:t>施工</w:t>
      </w:r>
      <w:r>
        <w:tab/>
      </w:r>
      <w:r>
        <w:fldChar w:fldCharType="begin"/>
      </w:r>
      <w:r>
        <w:instrText xml:space="preserve"> PAGEREF _Toc159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"_Toc7234" </w:instrText>
      </w:r>
      <w:r>
        <w:fldChar w:fldCharType="separate"/>
      </w:r>
      <w:r>
        <w:rPr>
          <w:rFonts w:cs="Times New Roman"/>
        </w:rPr>
        <w:t>6  验  收</w:t>
      </w:r>
      <w:r>
        <w:tab/>
      </w:r>
      <w:r>
        <w:fldChar w:fldCharType="begin"/>
      </w:r>
      <w:r>
        <w:instrText xml:space="preserve"> PAGEREF _Toc7234 \h </w:instrText>
      </w:r>
      <w:r>
        <w:fldChar w:fldCharType="separate"/>
      </w:r>
      <w:r>
        <w:t>27</w:t>
      </w:r>
      <w:r>
        <w:fldChar w:fldCharType="end"/>
      </w:r>
      <w:r>
        <w:fldChar w:fldCharType="end"/>
      </w:r>
    </w:p>
    <w:p>
      <w:pPr>
        <w:pStyle w:val="13"/>
        <w:tabs>
          <w:tab w:val="right" w:leader="dot" w:pos="8306"/>
        </w:tabs>
        <w:ind w:left="480"/>
      </w:pPr>
      <w:r>
        <w:fldChar w:fldCharType="begin"/>
      </w:r>
      <w:r>
        <w:instrText xml:space="preserve"> HYPERLINK \l "_Toc18487" </w:instrText>
      </w:r>
      <w:r>
        <w:fldChar w:fldCharType="separate"/>
      </w:r>
      <w:r>
        <w:rPr>
          <w:rFonts w:cs="Times New Roman"/>
        </w:rPr>
        <w:t>6.1  一般规定</w:t>
      </w:r>
      <w:r>
        <w:tab/>
      </w:r>
      <w:r>
        <w:fldChar w:fldCharType="begin"/>
      </w:r>
      <w:r>
        <w:instrText xml:space="preserve"> PAGEREF _Toc18487 \h </w:instrText>
      </w:r>
      <w:r>
        <w:fldChar w:fldCharType="separate"/>
      </w:r>
      <w:r>
        <w:t>27</w:t>
      </w:r>
      <w:r>
        <w:fldChar w:fldCharType="end"/>
      </w:r>
      <w:r>
        <w:fldChar w:fldCharType="end"/>
      </w:r>
    </w:p>
    <w:p>
      <w:pPr>
        <w:pStyle w:val="13"/>
        <w:tabs>
          <w:tab w:val="right" w:leader="dot" w:pos="8306"/>
        </w:tabs>
        <w:ind w:left="480"/>
      </w:pPr>
      <w:r>
        <w:fldChar w:fldCharType="begin"/>
      </w:r>
      <w:r>
        <w:instrText xml:space="preserve"> HYPERLINK \l "_Toc4271" </w:instrText>
      </w:r>
      <w:r>
        <w:fldChar w:fldCharType="separate"/>
      </w:r>
      <w:r>
        <w:rPr>
          <w:rFonts w:cs="Times New Roman"/>
        </w:rPr>
        <w:t>6.2  连接件</w:t>
      </w:r>
      <w:r>
        <w:tab/>
      </w:r>
      <w:r>
        <w:fldChar w:fldCharType="begin"/>
      </w:r>
      <w:r>
        <w:instrText xml:space="preserve"> PAGEREF _Toc4271 \h </w:instrText>
      </w:r>
      <w:r>
        <w:fldChar w:fldCharType="separate"/>
      </w:r>
      <w:r>
        <w:t>27</w:t>
      </w:r>
      <w:r>
        <w:fldChar w:fldCharType="end"/>
      </w:r>
      <w:r>
        <w:fldChar w:fldCharType="end"/>
      </w:r>
    </w:p>
    <w:p>
      <w:pPr>
        <w:pStyle w:val="13"/>
        <w:tabs>
          <w:tab w:val="right" w:leader="dot" w:pos="8306"/>
        </w:tabs>
        <w:ind w:left="480"/>
      </w:pPr>
      <w:r>
        <w:fldChar w:fldCharType="begin"/>
      </w:r>
      <w:r>
        <w:instrText xml:space="preserve"> HYPERLINK \l "_Toc14192" </w:instrText>
      </w:r>
      <w:r>
        <w:fldChar w:fldCharType="separate"/>
      </w:r>
      <w:r>
        <w:rPr>
          <w:rFonts w:cs="Times New Roman"/>
        </w:rPr>
        <w:t>6.3  </w:t>
      </w:r>
      <w:r>
        <w:rPr>
          <w:rFonts w:hint="eastAsia" w:cs="Times New Roman"/>
        </w:rPr>
        <w:t>预制</w:t>
      </w:r>
      <w:r>
        <w:rPr>
          <w:rFonts w:cs="Times New Roman"/>
        </w:rPr>
        <w:t>构件</w:t>
      </w:r>
      <w:r>
        <w:tab/>
      </w:r>
      <w:r>
        <w:fldChar w:fldCharType="begin"/>
      </w:r>
      <w:r>
        <w:instrText xml:space="preserve"> PAGEREF _Toc14192 \h </w:instrText>
      </w:r>
      <w:r>
        <w:fldChar w:fldCharType="separate"/>
      </w:r>
      <w:r>
        <w:t>28</w:t>
      </w:r>
      <w:r>
        <w:fldChar w:fldCharType="end"/>
      </w:r>
      <w:r>
        <w:fldChar w:fldCharType="end"/>
      </w:r>
    </w:p>
    <w:p>
      <w:pPr>
        <w:pStyle w:val="13"/>
        <w:tabs>
          <w:tab w:val="right" w:leader="dot" w:pos="8306"/>
        </w:tabs>
        <w:ind w:left="480"/>
      </w:pPr>
      <w:r>
        <w:fldChar w:fldCharType="begin"/>
      </w:r>
      <w:r>
        <w:instrText xml:space="preserve"> HYPERLINK \l "_Toc21279" </w:instrText>
      </w:r>
      <w:r>
        <w:fldChar w:fldCharType="separate"/>
      </w:r>
      <w:r>
        <w:rPr>
          <w:rFonts w:cs="Times New Roman"/>
        </w:rPr>
        <w:t>6.4  </w:t>
      </w:r>
      <w:r>
        <w:rPr>
          <w:rFonts w:hint="eastAsia" w:cs="Times New Roman"/>
        </w:rPr>
        <w:t>保温板</w:t>
      </w:r>
      <w:r>
        <w:tab/>
      </w:r>
      <w:r>
        <w:fldChar w:fldCharType="begin"/>
      </w:r>
      <w:r>
        <w:instrText xml:space="preserve"> PAGEREF _Toc21279 \h </w:instrText>
      </w:r>
      <w:r>
        <w:fldChar w:fldCharType="separate"/>
      </w:r>
      <w:r>
        <w:t>30</w:t>
      </w:r>
      <w:r>
        <w:fldChar w:fldCharType="end"/>
      </w:r>
      <w:r>
        <w:fldChar w:fldCharType="end"/>
      </w:r>
    </w:p>
    <w:p>
      <w:pPr>
        <w:pStyle w:val="13"/>
        <w:tabs>
          <w:tab w:val="right" w:leader="dot" w:pos="8306"/>
        </w:tabs>
        <w:ind w:left="480"/>
      </w:pPr>
      <w:r>
        <w:fldChar w:fldCharType="begin"/>
      </w:r>
      <w:r>
        <w:instrText xml:space="preserve"> HYPERLINK \l "_Toc24295" </w:instrText>
      </w:r>
      <w:r>
        <w:fldChar w:fldCharType="separate"/>
      </w:r>
      <w:r>
        <w:rPr>
          <w:rFonts w:cs="Times New Roman"/>
        </w:rPr>
        <w:t>6.5  </w:t>
      </w:r>
      <w:r>
        <w:rPr>
          <w:rFonts w:hint="eastAsia" w:cs="Times New Roman"/>
        </w:rPr>
        <w:t>注仓</w:t>
      </w:r>
      <w:r>
        <w:rPr>
          <w:rFonts w:cs="Times New Roman"/>
        </w:rPr>
        <w:t>料</w:t>
      </w:r>
      <w:r>
        <w:tab/>
      </w:r>
      <w:r>
        <w:fldChar w:fldCharType="begin"/>
      </w:r>
      <w:r>
        <w:instrText xml:space="preserve"> PAGEREF _Toc24295 \h </w:instrText>
      </w:r>
      <w:r>
        <w:fldChar w:fldCharType="separate"/>
      </w:r>
      <w:r>
        <w:t>31</w:t>
      </w:r>
      <w:r>
        <w:fldChar w:fldCharType="end"/>
      </w:r>
      <w:r>
        <w:fldChar w:fldCharType="end"/>
      </w:r>
    </w:p>
    <w:p>
      <w:pPr>
        <w:pStyle w:val="13"/>
        <w:tabs>
          <w:tab w:val="right" w:leader="dot" w:pos="8306"/>
        </w:tabs>
        <w:ind w:left="480"/>
      </w:pPr>
      <w:r>
        <w:fldChar w:fldCharType="begin"/>
      </w:r>
      <w:r>
        <w:instrText xml:space="preserve"> HYPERLINK \l "_Toc13059" </w:instrText>
      </w:r>
      <w:r>
        <w:fldChar w:fldCharType="separate"/>
      </w:r>
      <w:r>
        <w:rPr>
          <w:rFonts w:cs="Times New Roman"/>
        </w:rPr>
        <w:t>6.6  墙体工程</w:t>
      </w:r>
      <w:r>
        <w:tab/>
      </w:r>
      <w:r>
        <w:fldChar w:fldCharType="begin"/>
      </w:r>
      <w:r>
        <w:instrText xml:space="preserve"> PAGEREF _Toc13059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"_Toc21637" </w:instrText>
      </w:r>
      <w:r>
        <w:fldChar w:fldCharType="separate"/>
      </w:r>
      <w:r>
        <w:rPr>
          <w:rFonts w:hint="eastAsia"/>
        </w:rPr>
        <w:t>附录A  常用预制构件、连接件主要规格参数</w:t>
      </w:r>
      <w:r>
        <w:tab/>
      </w:r>
      <w:r>
        <w:fldChar w:fldCharType="begin"/>
      </w:r>
      <w:r>
        <w:instrText xml:space="preserve"> PAGEREF _Toc21637 \h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"_Toc18924" </w:instrText>
      </w:r>
      <w:r>
        <w:fldChar w:fldCharType="separate"/>
      </w:r>
      <w:r>
        <w:rPr>
          <w:rFonts w:cs="Times New Roman"/>
        </w:rPr>
        <w:t>附录</w:t>
      </w:r>
      <w:r>
        <w:rPr>
          <w:rFonts w:hint="eastAsia" w:cs="Times New Roman"/>
        </w:rPr>
        <w:t xml:space="preserve">B </w:t>
      </w:r>
      <w:r>
        <w:rPr>
          <w:rFonts w:cs="Times New Roman"/>
        </w:rPr>
        <w:t xml:space="preserve"> 质量验收记录</w:t>
      </w:r>
      <w:r>
        <w:tab/>
      </w:r>
      <w:r>
        <w:fldChar w:fldCharType="begin"/>
      </w:r>
      <w:r>
        <w:instrText xml:space="preserve"> PAGEREF _Toc18924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"_Toc415" </w:instrText>
      </w:r>
      <w:r>
        <w:fldChar w:fldCharType="separate"/>
      </w:r>
      <w:r>
        <w:rPr>
          <w:rFonts w:cs="Times New Roman"/>
        </w:rPr>
        <w:t>本标准用词说明</w:t>
      </w:r>
      <w:r>
        <w:tab/>
      </w:r>
      <w:r>
        <w:fldChar w:fldCharType="begin"/>
      </w:r>
      <w:r>
        <w:instrText xml:space="preserve"> PAGEREF _Toc415 \h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"_Toc25024" </w:instrText>
      </w:r>
      <w:r>
        <w:fldChar w:fldCharType="separate"/>
      </w:r>
      <w:r>
        <w:rPr>
          <w:rFonts w:cs="Times New Roman"/>
        </w:rPr>
        <w:t>引用标准名录</w:t>
      </w:r>
      <w:r>
        <w:tab/>
      </w:r>
      <w:r>
        <w:fldChar w:fldCharType="begin"/>
      </w:r>
      <w:r>
        <w:instrText xml:space="preserve"> PAGEREF _Toc25024 \h </w:instrText>
      </w:r>
      <w:r>
        <w:fldChar w:fldCharType="separate"/>
      </w:r>
      <w:r>
        <w:t>40</w:t>
      </w:r>
      <w:r>
        <w:fldChar w:fldCharType="end"/>
      </w:r>
      <w:r>
        <w:fldChar w:fldCharType="end"/>
      </w:r>
    </w:p>
    <w:p>
      <w:pPr>
        <w:pStyle w:val="12"/>
        <w:tabs>
          <w:tab w:val="right" w:leader="dot" w:pos="8306"/>
        </w:tabs>
      </w:pPr>
      <w:r>
        <w:rPr>
          <w:rFonts w:hint="eastAsia" w:cs="Times New Roman"/>
        </w:rPr>
        <w:t>附：</w:t>
      </w:r>
      <w:r>
        <w:fldChar w:fldCharType="begin"/>
      </w:r>
      <w:r>
        <w:instrText xml:space="preserve"> HYPERLINK \l "_Toc32478" </w:instrText>
      </w:r>
      <w:r>
        <w:fldChar w:fldCharType="separate"/>
      </w:r>
      <w:r>
        <w:rPr>
          <w:rFonts w:hint="eastAsia"/>
        </w:rPr>
        <w:t>条文说明</w:t>
      </w:r>
      <w:r>
        <w:tab/>
      </w:r>
      <w:r>
        <w:fldChar w:fldCharType="begin"/>
      </w:r>
      <w:r>
        <w:instrText xml:space="preserve"> PAGEREF _Toc32478 \h </w:instrText>
      </w:r>
      <w:r>
        <w:fldChar w:fldCharType="separate"/>
      </w:r>
      <w:r>
        <w:t>42</w:t>
      </w:r>
      <w:r>
        <w:fldChar w:fldCharType="end"/>
      </w:r>
      <w:r>
        <w:fldChar w:fldCharType="end"/>
      </w:r>
    </w:p>
    <w:p>
      <w:pPr>
        <w:snapToGrid w:val="0"/>
        <w:spacing w:line="276" w:lineRule="auto"/>
        <w:jc w:val="center"/>
        <w:rPr>
          <w:rFonts w:cs="Times New Roman"/>
        </w:rPr>
        <w:sectPr>
          <w:pgSz w:w="11906" w:h="16838"/>
          <w:pgMar w:top="1440" w:right="1800" w:bottom="1440" w:left="1800" w:header="851" w:footer="992" w:gutter="0"/>
          <w:pgNumType w:start="1"/>
          <w:cols w:space="425" w:num="1"/>
          <w:docGrid w:type="lines" w:linePitch="312" w:charSpace="0"/>
        </w:sectPr>
      </w:pPr>
      <w:r>
        <w:rPr>
          <w:rFonts w:cs="Times New Roman"/>
        </w:rPr>
        <w:fldChar w:fldCharType="end"/>
      </w:r>
    </w:p>
    <w:p>
      <w:pPr>
        <w:snapToGrid w:val="0"/>
        <w:spacing w:line="276" w:lineRule="auto"/>
        <w:jc w:val="center"/>
        <w:rPr>
          <w:rFonts w:cs="Times New Roman"/>
        </w:rPr>
      </w:pPr>
      <w:bookmarkStart w:id="25" w:name="_Toc19072"/>
      <w:r>
        <w:rPr>
          <w:rStyle w:val="24"/>
        </w:rPr>
        <w:t>Contents</w:t>
      </w:r>
      <w:bookmarkEnd w:id="25"/>
      <w:r>
        <w:rPr>
          <w:rFonts w:cs="Times New Roman"/>
        </w:rPr>
        <w:fldChar w:fldCharType="begin"/>
      </w:r>
      <w:r>
        <w:rPr>
          <w:rFonts w:cs="Times New Roman"/>
        </w:rPr>
        <w:instrText xml:space="preserve">TOC \o "1-2" \h \u </w:instrText>
      </w:r>
      <w:r>
        <w:rPr>
          <w:rFonts w:cs="Times New Roman"/>
        </w:rPr>
        <w:fldChar w:fldCharType="separate"/>
      </w:r>
    </w:p>
    <w:p>
      <w:pPr>
        <w:pStyle w:val="12"/>
        <w:tabs>
          <w:tab w:val="right" w:leader="dot" w:pos="8306"/>
        </w:tabs>
      </w:pPr>
      <w:r>
        <w:fldChar w:fldCharType="begin"/>
      </w:r>
      <w:r>
        <w:instrText xml:space="preserve"> HYPERLINK \l "_Toc4902" </w:instrText>
      </w:r>
      <w:r>
        <w:fldChar w:fldCharType="separate"/>
      </w:r>
      <w:r>
        <w:rPr>
          <w:rFonts w:cs="Times New Roman"/>
        </w:rPr>
        <w:t xml:space="preserve">1  </w:t>
      </w:r>
      <w:r>
        <w:rPr>
          <w:rFonts w:hint="eastAsia"/>
        </w:rPr>
        <w:t>General Provisions</w:t>
      </w:r>
      <w:r>
        <w:tab/>
      </w:r>
      <w:r>
        <w:fldChar w:fldCharType="begin"/>
      </w:r>
      <w:r>
        <w:instrText xml:space="preserve"> PAGEREF _Toc4902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"_Toc152" </w:instrText>
      </w:r>
      <w:r>
        <w:fldChar w:fldCharType="separate"/>
      </w:r>
      <w:r>
        <w:rPr>
          <w:rFonts w:cs="Times New Roman"/>
        </w:rPr>
        <w:t xml:space="preserve">2  </w:t>
      </w:r>
      <w:r>
        <w:rPr>
          <w:rFonts w:hint="eastAsia"/>
        </w:rPr>
        <w:t>Terms and Symbols</w:t>
      </w:r>
      <w:r>
        <w:tab/>
      </w:r>
      <w:r>
        <w:fldChar w:fldCharType="begin"/>
      </w:r>
      <w:r>
        <w:instrText xml:space="preserve"> PAGEREF _Toc152 \h </w:instrText>
      </w:r>
      <w:r>
        <w:fldChar w:fldCharType="separate"/>
      </w:r>
      <w:r>
        <w:t>2</w:t>
      </w:r>
      <w:r>
        <w:fldChar w:fldCharType="end"/>
      </w:r>
      <w:r>
        <w:fldChar w:fldCharType="end"/>
      </w:r>
    </w:p>
    <w:p>
      <w:pPr>
        <w:pStyle w:val="13"/>
        <w:tabs>
          <w:tab w:val="right" w:leader="dot" w:pos="8306"/>
        </w:tabs>
        <w:ind w:left="480"/>
      </w:pPr>
      <w:r>
        <w:fldChar w:fldCharType="begin"/>
      </w:r>
      <w:r>
        <w:instrText xml:space="preserve"> HYPERLINK \l "_Toc15884" </w:instrText>
      </w:r>
      <w:r>
        <w:fldChar w:fldCharType="separate"/>
      </w:r>
      <w:r>
        <w:rPr>
          <w:rFonts w:hint="eastAsia" w:cs="Times New Roman"/>
        </w:rPr>
        <w:t>2</w:t>
      </w:r>
      <w:r>
        <w:rPr>
          <w:rFonts w:cs="Times New Roman"/>
        </w:rPr>
        <w:t>.1  </w:t>
      </w:r>
      <w:r>
        <w:rPr>
          <w:rFonts w:hint="eastAsia"/>
        </w:rPr>
        <w:t>Terms</w:t>
      </w:r>
      <w:r>
        <w:tab/>
      </w:r>
      <w:r>
        <w:fldChar w:fldCharType="begin"/>
      </w:r>
      <w:r>
        <w:instrText xml:space="preserve"> PAGEREF _Toc15884 \h </w:instrText>
      </w:r>
      <w:r>
        <w:fldChar w:fldCharType="separate"/>
      </w:r>
      <w:r>
        <w:t>2</w:t>
      </w:r>
      <w:r>
        <w:fldChar w:fldCharType="end"/>
      </w:r>
      <w:r>
        <w:fldChar w:fldCharType="end"/>
      </w:r>
    </w:p>
    <w:p>
      <w:pPr>
        <w:pStyle w:val="13"/>
        <w:tabs>
          <w:tab w:val="right" w:leader="dot" w:pos="8306"/>
        </w:tabs>
        <w:ind w:left="480"/>
      </w:pPr>
      <w:r>
        <w:fldChar w:fldCharType="begin"/>
      </w:r>
      <w:r>
        <w:instrText xml:space="preserve"> HYPERLINK \l "_Toc25287" </w:instrText>
      </w:r>
      <w:r>
        <w:fldChar w:fldCharType="separate"/>
      </w:r>
      <w:r>
        <w:rPr>
          <w:rFonts w:hint="eastAsia" w:cs="Times New Roman"/>
        </w:rPr>
        <w:t>2</w:t>
      </w:r>
      <w:r>
        <w:rPr>
          <w:rFonts w:cs="Times New Roman"/>
        </w:rPr>
        <w:t>.</w:t>
      </w:r>
      <w:r>
        <w:rPr>
          <w:rFonts w:hint="eastAsia" w:cs="Times New Roman"/>
        </w:rPr>
        <w:t>2</w:t>
      </w:r>
      <w:r>
        <w:rPr>
          <w:rFonts w:cs="Times New Roman"/>
        </w:rPr>
        <w:t>  </w:t>
      </w:r>
      <w:r>
        <w:rPr>
          <w:rFonts w:hint="eastAsia"/>
        </w:rPr>
        <w:t xml:space="preserve"> Symbols</w:t>
      </w:r>
      <w:r>
        <w:tab/>
      </w:r>
      <w:r>
        <w:fldChar w:fldCharType="begin"/>
      </w:r>
      <w:r>
        <w:instrText xml:space="preserve"> PAGEREF _Toc25287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"_Toc20998" </w:instrText>
      </w:r>
      <w:r>
        <w:fldChar w:fldCharType="separate"/>
      </w:r>
      <w:r>
        <w:rPr>
          <w:rFonts w:cs="Times New Roman"/>
        </w:rPr>
        <w:t xml:space="preserve">3  </w:t>
      </w:r>
      <w:r>
        <w:rPr>
          <w:rFonts w:hint="eastAsia"/>
        </w:rPr>
        <w:t>Materials</w:t>
      </w:r>
      <w:r>
        <w:tab/>
      </w:r>
      <w:r>
        <w:fldChar w:fldCharType="begin"/>
      </w:r>
      <w:r>
        <w:instrText xml:space="preserve"> PAGEREF _Toc20998 \h </w:instrText>
      </w:r>
      <w:r>
        <w:fldChar w:fldCharType="separate"/>
      </w:r>
      <w:r>
        <w:t>4</w:t>
      </w:r>
      <w:r>
        <w:fldChar w:fldCharType="end"/>
      </w:r>
      <w:r>
        <w:fldChar w:fldCharType="end"/>
      </w:r>
    </w:p>
    <w:p>
      <w:pPr>
        <w:pStyle w:val="13"/>
        <w:tabs>
          <w:tab w:val="right" w:leader="dot" w:pos="8306"/>
        </w:tabs>
        <w:ind w:left="480"/>
      </w:pPr>
      <w:r>
        <w:fldChar w:fldCharType="begin"/>
      </w:r>
      <w:r>
        <w:instrText xml:space="preserve"> HYPERLINK \l "_Toc19944" </w:instrText>
      </w:r>
      <w:r>
        <w:fldChar w:fldCharType="separate"/>
      </w:r>
      <w:r>
        <w:rPr>
          <w:rFonts w:cs="Times New Roman"/>
        </w:rPr>
        <w:t>3.1  </w:t>
      </w:r>
      <w:r>
        <w:rPr>
          <w:rFonts w:hint="eastAsia" w:cs="宋体"/>
        </w:rPr>
        <w:t>General</w:t>
      </w:r>
      <w:r>
        <w:tab/>
      </w:r>
      <w:r>
        <w:fldChar w:fldCharType="begin"/>
      </w:r>
      <w:r>
        <w:instrText xml:space="preserve"> PAGEREF _Toc19944 \h </w:instrText>
      </w:r>
      <w:r>
        <w:fldChar w:fldCharType="separate"/>
      </w:r>
      <w:r>
        <w:t>4</w:t>
      </w:r>
      <w:r>
        <w:fldChar w:fldCharType="end"/>
      </w:r>
      <w:r>
        <w:fldChar w:fldCharType="end"/>
      </w:r>
    </w:p>
    <w:p>
      <w:pPr>
        <w:pStyle w:val="13"/>
        <w:tabs>
          <w:tab w:val="right" w:leader="dot" w:pos="8306"/>
        </w:tabs>
        <w:ind w:left="480"/>
      </w:pPr>
      <w:r>
        <w:fldChar w:fldCharType="begin"/>
      </w:r>
      <w:r>
        <w:instrText xml:space="preserve"> HYPERLINK \l "_Toc6031" </w:instrText>
      </w:r>
      <w:r>
        <w:fldChar w:fldCharType="separate"/>
      </w:r>
      <w:r>
        <w:rPr>
          <w:rFonts w:cs="Times New Roman"/>
        </w:rPr>
        <w:t>3.2  </w:t>
      </w:r>
      <w:r>
        <w:rPr>
          <w:rFonts w:hint="eastAsia" w:cs="Times New Roman"/>
        </w:rPr>
        <w:t>W</w:t>
      </w:r>
      <w:r>
        <w:rPr>
          <w:rFonts w:cs="Times New Roman"/>
        </w:rPr>
        <w:t xml:space="preserve">all </w:t>
      </w:r>
      <w:r>
        <w:rPr>
          <w:rFonts w:hint="eastAsia" w:cs="Times New Roman"/>
        </w:rPr>
        <w:t>P</w:t>
      </w:r>
      <w:r>
        <w:rPr>
          <w:rFonts w:cs="Times New Roman"/>
        </w:rPr>
        <w:t>anel</w:t>
      </w:r>
      <w:r>
        <w:tab/>
      </w:r>
      <w:r>
        <w:fldChar w:fldCharType="begin"/>
      </w:r>
      <w:r>
        <w:instrText xml:space="preserve"> PAGEREF _Toc6031 \h </w:instrText>
      </w:r>
      <w:r>
        <w:fldChar w:fldCharType="separate"/>
      </w:r>
      <w:r>
        <w:t>4</w:t>
      </w:r>
      <w:r>
        <w:fldChar w:fldCharType="end"/>
      </w:r>
      <w:r>
        <w:fldChar w:fldCharType="end"/>
      </w:r>
    </w:p>
    <w:p>
      <w:pPr>
        <w:pStyle w:val="13"/>
        <w:tabs>
          <w:tab w:val="right" w:leader="dot" w:pos="8306"/>
        </w:tabs>
        <w:ind w:left="480"/>
      </w:pPr>
      <w:r>
        <w:fldChar w:fldCharType="begin"/>
      </w:r>
      <w:r>
        <w:instrText xml:space="preserve"> HYPERLINK \l "_Toc29731" </w:instrText>
      </w:r>
      <w:r>
        <w:fldChar w:fldCharType="separate"/>
      </w:r>
      <w:r>
        <w:rPr>
          <w:rFonts w:cs="Times New Roman"/>
        </w:rPr>
        <w:t>3.3  </w:t>
      </w:r>
      <w:r>
        <w:rPr>
          <w:rFonts w:hint="eastAsia" w:cs="宋体"/>
        </w:rPr>
        <w:t>Gunite</w:t>
      </w:r>
      <w:r>
        <w:tab/>
      </w:r>
      <w:r>
        <w:fldChar w:fldCharType="begin"/>
      </w:r>
      <w:r>
        <w:instrText xml:space="preserve"> PAGEREF _Toc29731 \h </w:instrText>
      </w:r>
      <w:r>
        <w:fldChar w:fldCharType="separate"/>
      </w:r>
      <w:r>
        <w:t>4</w:t>
      </w:r>
      <w:r>
        <w:fldChar w:fldCharType="end"/>
      </w:r>
      <w:r>
        <w:fldChar w:fldCharType="end"/>
      </w:r>
    </w:p>
    <w:p>
      <w:pPr>
        <w:pStyle w:val="13"/>
        <w:tabs>
          <w:tab w:val="right" w:leader="dot" w:pos="8306"/>
        </w:tabs>
        <w:ind w:left="480"/>
      </w:pPr>
      <w:r>
        <w:fldChar w:fldCharType="begin"/>
      </w:r>
      <w:r>
        <w:instrText xml:space="preserve"> HYPERLINK \l "_Toc7554" </w:instrText>
      </w:r>
      <w:r>
        <w:fldChar w:fldCharType="separate"/>
      </w:r>
      <w:r>
        <w:rPr>
          <w:rFonts w:cs="Times New Roman"/>
        </w:rPr>
        <w:t>3.4  </w:t>
      </w:r>
      <w:r>
        <w:rPr>
          <w:rFonts w:hint="eastAsia" w:cs="宋体"/>
        </w:rPr>
        <w:t>Insulation Board</w:t>
      </w:r>
      <w:r>
        <w:tab/>
      </w:r>
      <w:r>
        <w:fldChar w:fldCharType="begin"/>
      </w:r>
      <w:r>
        <w:instrText xml:space="preserve"> PAGEREF _Toc7554 \h </w:instrText>
      </w:r>
      <w:r>
        <w:fldChar w:fldCharType="separate"/>
      </w:r>
      <w:r>
        <w:t>6</w:t>
      </w:r>
      <w:r>
        <w:fldChar w:fldCharType="end"/>
      </w:r>
      <w:r>
        <w:fldChar w:fldCharType="end"/>
      </w:r>
    </w:p>
    <w:p>
      <w:pPr>
        <w:pStyle w:val="13"/>
        <w:tabs>
          <w:tab w:val="right" w:leader="dot" w:pos="8306"/>
        </w:tabs>
        <w:ind w:left="480"/>
      </w:pPr>
      <w:r>
        <w:fldChar w:fldCharType="begin"/>
      </w:r>
      <w:r>
        <w:instrText xml:space="preserve"> HYPERLINK \l "_Toc24836" </w:instrText>
      </w:r>
      <w:r>
        <w:fldChar w:fldCharType="separate"/>
      </w:r>
      <w:r>
        <w:rPr>
          <w:rFonts w:hint="eastAsia" w:cs="Times New Roman"/>
        </w:rPr>
        <w:t>3.5</w:t>
      </w:r>
      <w:r>
        <w:rPr>
          <w:rFonts w:hint="eastAsia" w:cs="宋体"/>
        </w:rPr>
        <w:t> </w:t>
      </w:r>
      <w:r>
        <w:rPr>
          <w:rFonts w:hint="eastAsia"/>
        </w:rPr>
        <w:t>Steel Wire</w:t>
      </w:r>
      <w:r>
        <w:tab/>
      </w:r>
      <w:r>
        <w:fldChar w:fldCharType="begin"/>
      </w:r>
      <w:r>
        <w:instrText xml:space="preserve"> PAGEREF _Toc24836 \h </w:instrText>
      </w:r>
      <w:r>
        <w:fldChar w:fldCharType="separate"/>
      </w:r>
      <w:r>
        <w:t>8</w:t>
      </w:r>
      <w:r>
        <w:fldChar w:fldCharType="end"/>
      </w:r>
      <w:r>
        <w:fldChar w:fldCharType="end"/>
      </w:r>
    </w:p>
    <w:p>
      <w:pPr>
        <w:pStyle w:val="13"/>
        <w:tabs>
          <w:tab w:val="right" w:leader="dot" w:pos="8306"/>
        </w:tabs>
        <w:ind w:left="480"/>
      </w:pPr>
      <w:r>
        <w:fldChar w:fldCharType="begin"/>
      </w:r>
      <w:r>
        <w:instrText xml:space="preserve"> HYPERLINK \l "_Toc8396" </w:instrText>
      </w:r>
      <w:r>
        <w:fldChar w:fldCharType="separate"/>
      </w:r>
      <w:r>
        <w:rPr>
          <w:rFonts w:cs="Times New Roman"/>
        </w:rPr>
        <w:t>3.</w:t>
      </w:r>
      <w:r>
        <w:rPr>
          <w:rFonts w:hint="eastAsia" w:cs="Times New Roman"/>
        </w:rPr>
        <w:t>6</w:t>
      </w:r>
      <w:r>
        <w:rPr>
          <w:rFonts w:cs="Times New Roman"/>
        </w:rPr>
        <w:t>  </w:t>
      </w:r>
      <w:r>
        <w:rPr>
          <w:rFonts w:hint="eastAsia" w:cs="宋体"/>
        </w:rPr>
        <w:t>Connection Material</w:t>
      </w:r>
      <w:r>
        <w:tab/>
      </w:r>
      <w:r>
        <w:fldChar w:fldCharType="begin"/>
      </w:r>
      <w:r>
        <w:instrText xml:space="preserve"> PAGEREF _Toc8396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"_Toc9977" </w:instrText>
      </w:r>
      <w:r>
        <w:fldChar w:fldCharType="separate"/>
      </w:r>
      <w:r>
        <w:rPr>
          <w:rFonts w:cs="Times New Roman"/>
        </w:rPr>
        <w:t xml:space="preserve">4  </w:t>
      </w:r>
      <w:r>
        <w:rPr>
          <w:rFonts w:hint="eastAsia"/>
        </w:rPr>
        <w:t>Design</w:t>
      </w:r>
      <w:r>
        <w:tab/>
      </w:r>
      <w:r>
        <w:fldChar w:fldCharType="begin"/>
      </w:r>
      <w:r>
        <w:instrText xml:space="preserve"> PAGEREF _Toc9977 \h </w:instrText>
      </w:r>
      <w:r>
        <w:fldChar w:fldCharType="separate"/>
      </w:r>
      <w:r>
        <w:t>10</w:t>
      </w:r>
      <w:r>
        <w:fldChar w:fldCharType="end"/>
      </w:r>
      <w:r>
        <w:fldChar w:fldCharType="end"/>
      </w:r>
    </w:p>
    <w:p>
      <w:pPr>
        <w:pStyle w:val="13"/>
        <w:tabs>
          <w:tab w:val="right" w:leader="dot" w:pos="8306"/>
        </w:tabs>
        <w:ind w:left="480"/>
      </w:pPr>
      <w:r>
        <w:fldChar w:fldCharType="begin"/>
      </w:r>
      <w:r>
        <w:instrText xml:space="preserve"> HYPERLINK \l "_Toc22163" </w:instrText>
      </w:r>
      <w:r>
        <w:fldChar w:fldCharType="separate"/>
      </w:r>
      <w:r>
        <w:rPr>
          <w:rFonts w:cs="Times New Roman"/>
        </w:rPr>
        <w:t>4.1  </w:t>
      </w:r>
      <w:r>
        <w:rPr>
          <w:rFonts w:hint="eastAsia" w:cs="宋体"/>
        </w:rPr>
        <w:t>General</w:t>
      </w:r>
      <w:r>
        <w:tab/>
      </w:r>
      <w:r>
        <w:fldChar w:fldCharType="begin"/>
      </w:r>
      <w:r>
        <w:instrText xml:space="preserve"> PAGEREF _Toc22163 \h </w:instrText>
      </w:r>
      <w:r>
        <w:fldChar w:fldCharType="separate"/>
      </w:r>
      <w:r>
        <w:t>10</w:t>
      </w:r>
      <w:r>
        <w:fldChar w:fldCharType="end"/>
      </w:r>
      <w:r>
        <w:fldChar w:fldCharType="end"/>
      </w:r>
    </w:p>
    <w:p>
      <w:pPr>
        <w:pStyle w:val="13"/>
        <w:tabs>
          <w:tab w:val="right" w:leader="dot" w:pos="8306"/>
        </w:tabs>
        <w:ind w:left="480"/>
      </w:pPr>
      <w:r>
        <w:fldChar w:fldCharType="begin"/>
      </w:r>
      <w:r>
        <w:instrText xml:space="preserve"> HYPERLINK \l "_Toc2387" </w:instrText>
      </w:r>
      <w:r>
        <w:fldChar w:fldCharType="separate"/>
      </w:r>
      <w:r>
        <w:rPr>
          <w:rFonts w:cs="Times New Roman"/>
        </w:rPr>
        <w:t>4.</w:t>
      </w:r>
      <w:r>
        <w:rPr>
          <w:rFonts w:hint="eastAsia" w:cs="Times New Roman"/>
        </w:rPr>
        <w:t>2</w:t>
      </w:r>
      <w:r>
        <w:rPr>
          <w:rFonts w:cs="Times New Roman"/>
        </w:rPr>
        <w:t>  </w:t>
      </w:r>
      <w:r>
        <w:rPr>
          <w:rFonts w:hint="eastAsia" w:cs="宋体"/>
        </w:rPr>
        <w:t>Structure Design</w:t>
      </w:r>
      <w:r>
        <w:tab/>
      </w:r>
      <w:r>
        <w:fldChar w:fldCharType="begin"/>
      </w:r>
      <w:r>
        <w:instrText xml:space="preserve"> PAGEREF _Toc2387 \h </w:instrText>
      </w:r>
      <w:r>
        <w:fldChar w:fldCharType="separate"/>
      </w:r>
      <w:r>
        <w:t>12</w:t>
      </w:r>
      <w:r>
        <w:fldChar w:fldCharType="end"/>
      </w:r>
      <w:r>
        <w:fldChar w:fldCharType="end"/>
      </w:r>
    </w:p>
    <w:p>
      <w:pPr>
        <w:pStyle w:val="13"/>
        <w:tabs>
          <w:tab w:val="right" w:leader="dot" w:pos="8306"/>
        </w:tabs>
        <w:ind w:left="480"/>
      </w:pPr>
      <w:r>
        <w:fldChar w:fldCharType="begin"/>
      </w:r>
      <w:r>
        <w:instrText xml:space="preserve"> HYPERLINK \l "_Toc21662" </w:instrText>
      </w:r>
      <w:r>
        <w:fldChar w:fldCharType="separate"/>
      </w:r>
      <w:r>
        <w:rPr>
          <w:rFonts w:cs="Times New Roman"/>
        </w:rPr>
        <w:t>4.</w:t>
      </w:r>
      <w:r>
        <w:rPr>
          <w:rFonts w:hint="eastAsia" w:cs="Times New Roman"/>
        </w:rPr>
        <w:t>3</w:t>
      </w:r>
      <w:r>
        <w:rPr>
          <w:rFonts w:cs="Times New Roman"/>
        </w:rPr>
        <w:t>  </w:t>
      </w:r>
      <w:r>
        <w:rPr>
          <w:rFonts w:hint="eastAsia" w:cs="宋体"/>
        </w:rPr>
        <w:t>Thermal Design</w:t>
      </w:r>
      <w:r>
        <w:tab/>
      </w:r>
      <w:r>
        <w:fldChar w:fldCharType="begin"/>
      </w:r>
      <w:r>
        <w:instrText xml:space="preserve"> PAGEREF _Toc21662 \h </w:instrText>
      </w:r>
      <w:r>
        <w:fldChar w:fldCharType="separate"/>
      </w:r>
      <w:r>
        <w:t>15</w:t>
      </w:r>
      <w:r>
        <w:fldChar w:fldCharType="end"/>
      </w:r>
      <w:r>
        <w:fldChar w:fldCharType="end"/>
      </w:r>
    </w:p>
    <w:p>
      <w:pPr>
        <w:pStyle w:val="13"/>
        <w:tabs>
          <w:tab w:val="right" w:leader="dot" w:pos="8306"/>
        </w:tabs>
        <w:ind w:left="480"/>
      </w:pPr>
      <w:r>
        <w:fldChar w:fldCharType="begin"/>
      </w:r>
      <w:r>
        <w:instrText xml:space="preserve"> HYPERLINK \l "_Toc3978" </w:instrText>
      </w:r>
      <w:r>
        <w:fldChar w:fldCharType="separate"/>
      </w:r>
      <w:r>
        <w:rPr>
          <w:rFonts w:cs="Times New Roman"/>
        </w:rPr>
        <w:t>4.4  </w:t>
      </w:r>
      <w:r>
        <w:rPr>
          <w:rFonts w:hint="eastAsia"/>
        </w:rPr>
        <w:t>C</w:t>
      </w:r>
      <w:r>
        <w:t xml:space="preserve">onstructional </w:t>
      </w:r>
      <w:r>
        <w:rPr>
          <w:rFonts w:hint="eastAsia"/>
        </w:rPr>
        <w:t>M</w:t>
      </w:r>
      <w:r>
        <w:t>easure</w:t>
      </w:r>
      <w:r>
        <w:rPr>
          <w:rFonts w:hint="eastAsia"/>
        </w:rPr>
        <w:t>s</w:t>
      </w:r>
      <w:r>
        <w:tab/>
      </w:r>
      <w:r>
        <w:fldChar w:fldCharType="begin"/>
      </w:r>
      <w:r>
        <w:instrText xml:space="preserve"> PAGEREF _Toc3978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"_Toc29195" </w:instrText>
      </w:r>
      <w:r>
        <w:fldChar w:fldCharType="separate"/>
      </w:r>
      <w:r>
        <w:rPr>
          <w:rFonts w:cs="Times New Roman"/>
        </w:rPr>
        <w:t xml:space="preserve">5  </w:t>
      </w:r>
      <w:r>
        <w:rPr>
          <w:rFonts w:hint="eastAsia"/>
        </w:rPr>
        <w:t>Construction</w:t>
      </w:r>
      <w:r>
        <w:tab/>
      </w:r>
      <w:r>
        <w:fldChar w:fldCharType="begin"/>
      </w:r>
      <w:r>
        <w:instrText xml:space="preserve"> PAGEREF _Toc29195 \h </w:instrText>
      </w:r>
      <w:r>
        <w:fldChar w:fldCharType="separate"/>
      </w:r>
      <w:r>
        <w:t>23</w:t>
      </w:r>
      <w:r>
        <w:fldChar w:fldCharType="end"/>
      </w:r>
      <w:r>
        <w:fldChar w:fldCharType="end"/>
      </w:r>
    </w:p>
    <w:p>
      <w:pPr>
        <w:pStyle w:val="13"/>
        <w:tabs>
          <w:tab w:val="right" w:leader="dot" w:pos="8306"/>
        </w:tabs>
        <w:ind w:left="480"/>
      </w:pPr>
      <w:r>
        <w:fldChar w:fldCharType="begin"/>
      </w:r>
      <w:r>
        <w:instrText xml:space="preserve"> HYPERLINK \l "_Toc5036" </w:instrText>
      </w:r>
      <w:r>
        <w:fldChar w:fldCharType="separate"/>
      </w:r>
      <w:r>
        <w:rPr>
          <w:rFonts w:cs="Times New Roman"/>
        </w:rPr>
        <w:t>5.1  </w:t>
      </w:r>
      <w:r>
        <w:rPr>
          <w:rFonts w:hint="eastAsia" w:cs="宋体"/>
        </w:rPr>
        <w:t>General</w:t>
      </w:r>
      <w:r>
        <w:tab/>
      </w:r>
      <w:r>
        <w:fldChar w:fldCharType="begin"/>
      </w:r>
      <w:r>
        <w:instrText xml:space="preserve"> PAGEREF _Toc5036 \h </w:instrText>
      </w:r>
      <w:r>
        <w:fldChar w:fldCharType="separate"/>
      </w:r>
      <w:r>
        <w:t>23</w:t>
      </w:r>
      <w:r>
        <w:fldChar w:fldCharType="end"/>
      </w:r>
      <w:r>
        <w:fldChar w:fldCharType="end"/>
      </w:r>
    </w:p>
    <w:p>
      <w:pPr>
        <w:pStyle w:val="13"/>
        <w:tabs>
          <w:tab w:val="right" w:leader="dot" w:pos="8306"/>
        </w:tabs>
        <w:ind w:left="480"/>
      </w:pPr>
      <w:r>
        <w:fldChar w:fldCharType="begin"/>
      </w:r>
      <w:r>
        <w:instrText xml:space="preserve"> HYPERLINK \l "_Toc2701" </w:instrText>
      </w:r>
      <w:r>
        <w:fldChar w:fldCharType="separate"/>
      </w:r>
      <w:r>
        <w:rPr>
          <w:rFonts w:cs="Times New Roman"/>
        </w:rPr>
        <w:t>5.2  </w:t>
      </w:r>
      <w:r>
        <w:rPr>
          <w:rFonts w:hint="eastAsia"/>
        </w:rPr>
        <w:t>Installation</w:t>
      </w:r>
      <w:r>
        <w:t xml:space="preserve"> of Prefabricated Components</w:t>
      </w:r>
      <w:r>
        <w:tab/>
      </w:r>
      <w:r>
        <w:fldChar w:fldCharType="begin"/>
      </w:r>
      <w:r>
        <w:instrText xml:space="preserve"> PAGEREF _Toc2701 \h </w:instrText>
      </w:r>
      <w:r>
        <w:fldChar w:fldCharType="separate"/>
      </w:r>
      <w:r>
        <w:t>24</w:t>
      </w:r>
      <w:r>
        <w:fldChar w:fldCharType="end"/>
      </w:r>
      <w:r>
        <w:fldChar w:fldCharType="end"/>
      </w:r>
    </w:p>
    <w:p>
      <w:pPr>
        <w:pStyle w:val="13"/>
        <w:tabs>
          <w:tab w:val="right" w:leader="dot" w:pos="8306"/>
        </w:tabs>
        <w:ind w:left="480"/>
      </w:pPr>
      <w:r>
        <w:fldChar w:fldCharType="begin"/>
      </w:r>
      <w:r>
        <w:instrText xml:space="preserve"> HYPERLINK \l "_Toc11535" </w:instrText>
      </w:r>
      <w:r>
        <w:fldChar w:fldCharType="separate"/>
      </w:r>
      <w:r>
        <w:rPr>
          <w:rFonts w:cs="Times New Roman"/>
        </w:rPr>
        <w:t>5.3  </w:t>
      </w:r>
      <w:r>
        <w:rPr>
          <w:rFonts w:hint="eastAsia"/>
        </w:rPr>
        <w:t>Pipeline、</w:t>
      </w:r>
      <w:r>
        <w:rPr>
          <w:rFonts w:hint="eastAsia" w:cs="宋体"/>
        </w:rPr>
        <w:t>Insulation Board Work</w:t>
      </w:r>
      <w:r>
        <w:tab/>
      </w:r>
      <w:r>
        <w:fldChar w:fldCharType="begin"/>
      </w:r>
      <w:r>
        <w:instrText xml:space="preserve"> PAGEREF _Toc11535 \h </w:instrText>
      </w:r>
      <w:r>
        <w:fldChar w:fldCharType="separate"/>
      </w:r>
      <w:r>
        <w:t>24</w:t>
      </w:r>
      <w:r>
        <w:fldChar w:fldCharType="end"/>
      </w:r>
      <w:r>
        <w:fldChar w:fldCharType="end"/>
      </w:r>
    </w:p>
    <w:p>
      <w:pPr>
        <w:pStyle w:val="13"/>
        <w:tabs>
          <w:tab w:val="right" w:leader="dot" w:pos="8306"/>
        </w:tabs>
        <w:ind w:left="480"/>
      </w:pPr>
      <w:r>
        <w:fldChar w:fldCharType="begin"/>
      </w:r>
      <w:r>
        <w:instrText xml:space="preserve"> HYPERLINK \l "_Toc8395" </w:instrText>
      </w:r>
      <w:r>
        <w:fldChar w:fldCharType="separate"/>
      </w:r>
      <w:r>
        <w:rPr>
          <w:rFonts w:cs="Times New Roman"/>
        </w:rPr>
        <w:t>5.4  </w:t>
      </w:r>
      <w:r>
        <w:rPr>
          <w:rFonts w:hint="eastAsia"/>
        </w:rPr>
        <w:t>Tool-typed Formwork</w:t>
      </w:r>
      <w:r>
        <w:tab/>
      </w:r>
      <w:r>
        <w:fldChar w:fldCharType="begin"/>
      </w:r>
      <w:r>
        <w:instrText xml:space="preserve"> PAGEREF _Toc8395 \h </w:instrText>
      </w:r>
      <w:r>
        <w:fldChar w:fldCharType="separate"/>
      </w:r>
      <w:r>
        <w:t>25</w:t>
      </w:r>
      <w:r>
        <w:fldChar w:fldCharType="end"/>
      </w:r>
      <w:r>
        <w:fldChar w:fldCharType="end"/>
      </w:r>
    </w:p>
    <w:p>
      <w:pPr>
        <w:pStyle w:val="13"/>
        <w:tabs>
          <w:tab w:val="right" w:leader="dot" w:pos="8306"/>
        </w:tabs>
        <w:ind w:left="480"/>
      </w:pPr>
      <w:r>
        <w:fldChar w:fldCharType="begin"/>
      </w:r>
      <w:r>
        <w:instrText xml:space="preserve"> HYPERLINK \l "_Toc8638" </w:instrText>
      </w:r>
      <w:r>
        <w:fldChar w:fldCharType="separate"/>
      </w:r>
      <w:r>
        <w:rPr>
          <w:rFonts w:cs="Times New Roman"/>
        </w:rPr>
        <w:t>5.5  </w:t>
      </w:r>
      <w:r>
        <w:rPr>
          <w:rFonts w:hint="eastAsia" w:cs="宋体"/>
        </w:rPr>
        <w:t>Gunite Work</w:t>
      </w:r>
      <w:r>
        <w:tab/>
      </w:r>
      <w:r>
        <w:fldChar w:fldCharType="begin"/>
      </w:r>
      <w:r>
        <w:instrText xml:space="preserve"> PAGEREF _Toc8638 \h </w:instrText>
      </w:r>
      <w:r>
        <w:fldChar w:fldCharType="separate"/>
      </w:r>
      <w:r>
        <w:t>25</w:t>
      </w:r>
      <w:r>
        <w:fldChar w:fldCharType="end"/>
      </w:r>
      <w:r>
        <w:fldChar w:fldCharType="end"/>
      </w:r>
    </w:p>
    <w:p>
      <w:pPr>
        <w:pStyle w:val="13"/>
        <w:tabs>
          <w:tab w:val="right" w:leader="dot" w:pos="8306"/>
        </w:tabs>
        <w:ind w:left="480"/>
      </w:pPr>
      <w:r>
        <w:fldChar w:fldCharType="begin"/>
      </w:r>
      <w:r>
        <w:instrText xml:space="preserve"> HYPERLINK \l "_Toc159" </w:instrText>
      </w:r>
      <w:r>
        <w:fldChar w:fldCharType="separate"/>
      </w:r>
      <w:r>
        <w:rPr>
          <w:rFonts w:cs="Times New Roman"/>
        </w:rPr>
        <w:t>5.</w:t>
      </w:r>
      <w:r>
        <w:rPr>
          <w:rFonts w:hint="eastAsia" w:cs="Times New Roman"/>
        </w:rPr>
        <w:t>6</w:t>
      </w:r>
      <w:r>
        <w:rPr>
          <w:rFonts w:cs="Times New Roman"/>
        </w:rPr>
        <w:t>  </w:t>
      </w:r>
      <w:r>
        <w:rPr>
          <w:rFonts w:hint="eastAsia"/>
        </w:rPr>
        <w:t>Green Construction</w:t>
      </w:r>
      <w:r>
        <w:tab/>
      </w:r>
      <w:r>
        <w:fldChar w:fldCharType="begin"/>
      </w:r>
      <w:r>
        <w:instrText xml:space="preserve"> PAGEREF _Toc159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"_Toc7234" </w:instrText>
      </w:r>
      <w:r>
        <w:fldChar w:fldCharType="separate"/>
      </w:r>
      <w:r>
        <w:rPr>
          <w:rFonts w:cs="Times New Roman"/>
        </w:rPr>
        <w:t xml:space="preserve">6  </w:t>
      </w:r>
      <w:r>
        <w:rPr>
          <w:rFonts w:hint="eastAsia"/>
        </w:rPr>
        <w:t>Acceptance</w:t>
      </w:r>
      <w:r>
        <w:tab/>
      </w:r>
      <w:r>
        <w:fldChar w:fldCharType="begin"/>
      </w:r>
      <w:r>
        <w:instrText xml:space="preserve"> PAGEREF _Toc7234 \h </w:instrText>
      </w:r>
      <w:r>
        <w:fldChar w:fldCharType="separate"/>
      </w:r>
      <w:r>
        <w:t>27</w:t>
      </w:r>
      <w:r>
        <w:fldChar w:fldCharType="end"/>
      </w:r>
      <w:r>
        <w:fldChar w:fldCharType="end"/>
      </w:r>
    </w:p>
    <w:p>
      <w:pPr>
        <w:pStyle w:val="13"/>
        <w:tabs>
          <w:tab w:val="right" w:leader="dot" w:pos="8306"/>
        </w:tabs>
        <w:ind w:left="480"/>
      </w:pPr>
      <w:r>
        <w:fldChar w:fldCharType="begin"/>
      </w:r>
      <w:r>
        <w:instrText xml:space="preserve"> HYPERLINK \l "_Toc18487" </w:instrText>
      </w:r>
      <w:r>
        <w:fldChar w:fldCharType="separate"/>
      </w:r>
      <w:r>
        <w:rPr>
          <w:rFonts w:cs="Times New Roman"/>
        </w:rPr>
        <w:t>6.1  </w:t>
      </w:r>
      <w:r>
        <w:rPr>
          <w:rFonts w:hint="eastAsia" w:cs="宋体"/>
        </w:rPr>
        <w:t>General</w:t>
      </w:r>
      <w:r>
        <w:tab/>
      </w:r>
      <w:r>
        <w:fldChar w:fldCharType="begin"/>
      </w:r>
      <w:r>
        <w:instrText xml:space="preserve"> PAGEREF _Toc18487 \h </w:instrText>
      </w:r>
      <w:r>
        <w:fldChar w:fldCharType="separate"/>
      </w:r>
      <w:r>
        <w:t>27</w:t>
      </w:r>
      <w:r>
        <w:fldChar w:fldCharType="end"/>
      </w:r>
      <w:r>
        <w:fldChar w:fldCharType="end"/>
      </w:r>
    </w:p>
    <w:p>
      <w:pPr>
        <w:pStyle w:val="13"/>
        <w:tabs>
          <w:tab w:val="right" w:leader="dot" w:pos="8306"/>
        </w:tabs>
        <w:ind w:left="480"/>
      </w:pPr>
      <w:r>
        <w:fldChar w:fldCharType="begin"/>
      </w:r>
      <w:r>
        <w:instrText xml:space="preserve"> HYPERLINK \l "_Toc4271" </w:instrText>
      </w:r>
      <w:r>
        <w:fldChar w:fldCharType="separate"/>
      </w:r>
      <w:r>
        <w:rPr>
          <w:rFonts w:cs="Times New Roman"/>
        </w:rPr>
        <w:t>6.2  </w:t>
      </w:r>
      <w:r>
        <w:rPr>
          <w:rFonts w:hint="eastAsia" w:cs="宋体"/>
        </w:rPr>
        <w:t>Clip</w:t>
      </w:r>
      <w:r>
        <w:tab/>
      </w:r>
      <w:r>
        <w:fldChar w:fldCharType="begin"/>
      </w:r>
      <w:r>
        <w:instrText xml:space="preserve"> PAGEREF _Toc4271 \h </w:instrText>
      </w:r>
      <w:r>
        <w:fldChar w:fldCharType="separate"/>
      </w:r>
      <w:r>
        <w:t>27</w:t>
      </w:r>
      <w:r>
        <w:fldChar w:fldCharType="end"/>
      </w:r>
      <w:r>
        <w:fldChar w:fldCharType="end"/>
      </w:r>
    </w:p>
    <w:p>
      <w:pPr>
        <w:pStyle w:val="13"/>
        <w:tabs>
          <w:tab w:val="right" w:leader="dot" w:pos="8306"/>
        </w:tabs>
        <w:ind w:left="480"/>
      </w:pPr>
      <w:r>
        <w:fldChar w:fldCharType="begin"/>
      </w:r>
      <w:r>
        <w:instrText xml:space="preserve"> HYPERLINK \l "_Toc14192" </w:instrText>
      </w:r>
      <w:r>
        <w:fldChar w:fldCharType="separate"/>
      </w:r>
      <w:r>
        <w:rPr>
          <w:rFonts w:cs="Times New Roman"/>
        </w:rPr>
        <w:t>6.3  </w:t>
      </w:r>
      <w:r>
        <w:rPr>
          <w:rFonts w:hint="eastAsia" w:cs="宋体"/>
        </w:rPr>
        <w:t>Prefabricated Components</w:t>
      </w:r>
      <w:r>
        <w:tab/>
      </w:r>
      <w:r>
        <w:fldChar w:fldCharType="begin"/>
      </w:r>
      <w:r>
        <w:instrText xml:space="preserve"> PAGEREF _Toc14192 \h </w:instrText>
      </w:r>
      <w:r>
        <w:fldChar w:fldCharType="separate"/>
      </w:r>
      <w:r>
        <w:t>28</w:t>
      </w:r>
      <w:r>
        <w:fldChar w:fldCharType="end"/>
      </w:r>
      <w:r>
        <w:fldChar w:fldCharType="end"/>
      </w:r>
    </w:p>
    <w:p>
      <w:pPr>
        <w:pStyle w:val="13"/>
        <w:tabs>
          <w:tab w:val="right" w:leader="dot" w:pos="8306"/>
        </w:tabs>
        <w:ind w:left="480"/>
      </w:pPr>
      <w:r>
        <w:fldChar w:fldCharType="begin"/>
      </w:r>
      <w:r>
        <w:instrText xml:space="preserve"> HYPERLINK \l "_Toc21279" </w:instrText>
      </w:r>
      <w:r>
        <w:fldChar w:fldCharType="separate"/>
      </w:r>
      <w:r>
        <w:rPr>
          <w:rFonts w:cs="Times New Roman"/>
        </w:rPr>
        <w:t>6.4  </w:t>
      </w:r>
      <w:r>
        <w:rPr>
          <w:rFonts w:hint="eastAsia" w:cs="宋体"/>
        </w:rPr>
        <w:t>Insulation Board</w:t>
      </w:r>
      <w:r>
        <w:tab/>
      </w:r>
      <w:r>
        <w:fldChar w:fldCharType="begin"/>
      </w:r>
      <w:r>
        <w:instrText xml:space="preserve"> PAGEREF _Toc21279 \h </w:instrText>
      </w:r>
      <w:r>
        <w:fldChar w:fldCharType="separate"/>
      </w:r>
      <w:r>
        <w:t>30</w:t>
      </w:r>
      <w:r>
        <w:fldChar w:fldCharType="end"/>
      </w:r>
      <w:r>
        <w:fldChar w:fldCharType="end"/>
      </w:r>
    </w:p>
    <w:p>
      <w:pPr>
        <w:pStyle w:val="13"/>
        <w:tabs>
          <w:tab w:val="right" w:leader="dot" w:pos="8306"/>
        </w:tabs>
        <w:ind w:left="480"/>
      </w:pPr>
      <w:r>
        <w:fldChar w:fldCharType="begin"/>
      </w:r>
      <w:r>
        <w:instrText xml:space="preserve"> HYPERLINK \l "_Toc24295" </w:instrText>
      </w:r>
      <w:r>
        <w:fldChar w:fldCharType="separate"/>
      </w:r>
      <w:r>
        <w:rPr>
          <w:rFonts w:cs="Times New Roman"/>
        </w:rPr>
        <w:t>6.5  </w:t>
      </w:r>
      <w:r>
        <w:rPr>
          <w:rFonts w:hint="eastAsia" w:cs="宋体"/>
        </w:rPr>
        <w:t>Gunite</w:t>
      </w:r>
      <w:r>
        <w:tab/>
      </w:r>
      <w:r>
        <w:fldChar w:fldCharType="begin"/>
      </w:r>
      <w:r>
        <w:instrText xml:space="preserve"> PAGEREF _Toc24295 \h </w:instrText>
      </w:r>
      <w:r>
        <w:fldChar w:fldCharType="separate"/>
      </w:r>
      <w:r>
        <w:t>31</w:t>
      </w:r>
      <w:r>
        <w:fldChar w:fldCharType="end"/>
      </w:r>
      <w:r>
        <w:fldChar w:fldCharType="end"/>
      </w:r>
    </w:p>
    <w:p>
      <w:pPr>
        <w:pStyle w:val="13"/>
        <w:tabs>
          <w:tab w:val="right" w:leader="dot" w:pos="8306"/>
        </w:tabs>
        <w:ind w:left="480"/>
      </w:pPr>
      <w:r>
        <w:fldChar w:fldCharType="begin"/>
      </w:r>
      <w:r>
        <w:instrText xml:space="preserve"> HYPERLINK \l "_Toc13059" </w:instrText>
      </w:r>
      <w:r>
        <w:fldChar w:fldCharType="separate"/>
      </w:r>
      <w:r>
        <w:rPr>
          <w:rFonts w:cs="Times New Roman"/>
        </w:rPr>
        <w:t>6.6  </w:t>
      </w:r>
      <w:r>
        <w:rPr>
          <w:rFonts w:hint="eastAsia"/>
        </w:rPr>
        <w:t>Wall Work</w:t>
      </w:r>
      <w:r>
        <w:tab/>
      </w:r>
      <w:r>
        <w:fldChar w:fldCharType="begin"/>
      </w:r>
      <w:r>
        <w:instrText xml:space="preserve"> PAGEREF _Toc13059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"_Toc21637" </w:instrText>
      </w:r>
      <w:r>
        <w:fldChar w:fldCharType="separate"/>
      </w:r>
      <w:r>
        <w:rPr>
          <w:rFonts w:hint="eastAsia"/>
        </w:rPr>
        <w:t xml:space="preserve">Appendix A  Specification of </w:t>
      </w:r>
      <w:r>
        <w:rPr>
          <w:rFonts w:hint="eastAsia" w:cs="宋体"/>
        </w:rPr>
        <w:t xml:space="preserve">Prefabricated Components </w:t>
      </w:r>
      <w:r>
        <w:rPr>
          <w:rFonts w:hint="eastAsia"/>
        </w:rPr>
        <w:t>&amp;</w:t>
      </w:r>
      <w:r>
        <w:rPr>
          <w:rFonts w:hint="eastAsia" w:cs="宋体"/>
        </w:rPr>
        <w:t>Clip</w:t>
      </w:r>
      <w:r>
        <w:tab/>
      </w:r>
      <w:r>
        <w:fldChar w:fldCharType="begin"/>
      </w:r>
      <w:r>
        <w:instrText xml:space="preserve"> PAGEREF _Toc21637 \h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"_Toc18924" </w:instrText>
      </w:r>
      <w:r>
        <w:fldChar w:fldCharType="separate"/>
      </w:r>
      <w:r>
        <w:rPr>
          <w:rFonts w:hint="eastAsia"/>
        </w:rPr>
        <w:t>Appendix B  Record of Quality Acceptance</w:t>
      </w:r>
      <w:r>
        <w:tab/>
      </w:r>
      <w:r>
        <w:fldChar w:fldCharType="begin"/>
      </w:r>
      <w:r>
        <w:instrText xml:space="preserve"> PAGEREF _Toc18924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"_Toc415" </w:instrText>
      </w:r>
      <w:r>
        <w:fldChar w:fldCharType="separate"/>
      </w:r>
      <w:r>
        <w:t>Explanation of Wording in This Code</w:t>
      </w:r>
      <w:r>
        <w:tab/>
      </w:r>
      <w:r>
        <w:fldChar w:fldCharType="begin"/>
      </w:r>
      <w:r>
        <w:instrText xml:space="preserve"> PAGEREF _Toc415 \h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"_Toc25024" </w:instrText>
      </w:r>
      <w:r>
        <w:fldChar w:fldCharType="separate"/>
      </w:r>
      <w:r>
        <w:t>List of Quoted Standards</w:t>
      </w:r>
      <w:r>
        <w:tab/>
      </w:r>
      <w:r>
        <w:fldChar w:fldCharType="begin"/>
      </w:r>
      <w:r>
        <w:instrText xml:space="preserve"> PAGEREF _Toc25024 \h </w:instrText>
      </w:r>
      <w:r>
        <w:fldChar w:fldCharType="separate"/>
      </w:r>
      <w:r>
        <w:t>40</w:t>
      </w:r>
      <w:r>
        <w:fldChar w:fldCharType="end"/>
      </w:r>
      <w:r>
        <w:fldChar w:fldCharType="end"/>
      </w:r>
    </w:p>
    <w:p>
      <w:pPr>
        <w:pStyle w:val="12"/>
        <w:tabs>
          <w:tab w:val="right" w:leader="dot" w:pos="8306"/>
        </w:tabs>
      </w:pPr>
      <w:r>
        <w:rPr>
          <w:rFonts w:hint="eastAsia" w:cs="Times New Roman"/>
        </w:rPr>
        <w:t>Addition：Explanation of Provision</w:t>
      </w:r>
      <w:r>
        <w:fldChar w:fldCharType="begin"/>
      </w:r>
      <w:r>
        <w:instrText xml:space="preserve"> HYPERLINK \l "_Toc32478" </w:instrText>
      </w:r>
      <w:r>
        <w:fldChar w:fldCharType="separate"/>
      </w:r>
      <w:r>
        <w:tab/>
      </w:r>
      <w:r>
        <w:fldChar w:fldCharType="begin"/>
      </w:r>
      <w:r>
        <w:instrText xml:space="preserve"> PAGEREF _Toc32478 \h </w:instrText>
      </w:r>
      <w:r>
        <w:fldChar w:fldCharType="separate"/>
      </w:r>
      <w:r>
        <w:t>42</w:t>
      </w:r>
      <w:r>
        <w:fldChar w:fldCharType="end"/>
      </w:r>
      <w:r>
        <w:fldChar w:fldCharType="end"/>
      </w:r>
    </w:p>
    <w:p/>
    <w:p/>
    <w:p>
      <w:r>
        <w:fldChar w:fldCharType="end"/>
      </w:r>
    </w:p>
    <w:p/>
    <w:p/>
    <w:p/>
    <w:p/>
    <w:p/>
    <w:p/>
    <w:p/>
    <w:p/>
    <w:p>
      <w:pPr>
        <w:rPr>
          <w:rFonts w:cs="Times New Roman"/>
        </w:rPr>
      </w:pPr>
    </w:p>
    <w:p/>
    <w:p/>
    <w:p/>
    <w:p/>
    <w:p/>
    <w:p/>
    <w:p/>
    <w:p/>
    <w:p>
      <w:pPr>
        <w:pStyle w:val="3"/>
        <w:snapToGrid w:val="0"/>
        <w:spacing w:before="0" w:after="0" w:line="360" w:lineRule="auto"/>
        <w:rPr>
          <w:rFonts w:ascii="Times New Roman" w:hAnsi="Times New Roman" w:cs="Times New Roman"/>
        </w:rPr>
        <w:sectPr>
          <w:footerReference r:id="rId7" w:type="default"/>
          <w:pgSz w:w="11906" w:h="16838"/>
          <w:pgMar w:top="1440" w:right="1800" w:bottom="1440" w:left="1800" w:header="851" w:footer="992" w:gutter="0"/>
          <w:pgNumType w:start="1"/>
          <w:cols w:space="425" w:num="1"/>
          <w:docGrid w:type="lines" w:linePitch="312" w:charSpace="0"/>
        </w:sectPr>
      </w:pPr>
    </w:p>
    <w:p>
      <w:pPr>
        <w:pStyle w:val="3"/>
        <w:snapToGrid w:val="0"/>
        <w:spacing w:before="0" w:after="0" w:line="360" w:lineRule="auto"/>
        <w:rPr>
          <w:rFonts w:ascii="Times New Roman" w:hAnsi="Times New Roman" w:cs="Times New Roman"/>
        </w:rPr>
      </w:pPr>
      <w:bookmarkStart w:id="26" w:name="_Toc4902"/>
      <w:r>
        <w:rPr>
          <w:rFonts w:ascii="Times New Roman" w:hAnsi="Times New Roman" w:cs="Times New Roman"/>
        </w:rPr>
        <w:t>1  总  则</w:t>
      </w:r>
      <w:bookmarkEnd w:id="23"/>
      <w:bookmarkEnd w:id="24"/>
      <w:bookmarkEnd w:id="26"/>
    </w:p>
    <w:p>
      <w:pPr>
        <w:snapToGrid w:val="0"/>
        <w:rPr>
          <w:rStyle w:val="22"/>
          <w:rFonts w:ascii="Times New Roman" w:hAnsi="Times New Roman" w:cs="Times New Roman"/>
        </w:rPr>
      </w:pPr>
    </w:p>
    <w:p>
      <w:pPr>
        <w:snapToGrid w:val="0"/>
        <w:rPr>
          <w:rFonts w:cs="Times New Roman"/>
        </w:rPr>
      </w:pPr>
      <w:r>
        <w:rPr>
          <w:rStyle w:val="22"/>
          <w:rFonts w:ascii="Times New Roman" w:hAnsi="Times New Roman" w:cs="Times New Roman"/>
        </w:rPr>
        <w:t>1.0.1</w:t>
      </w:r>
      <w:r>
        <w:rPr>
          <w:rFonts w:cs="Times New Roman"/>
        </w:rPr>
        <w:t> 为促进装配式复合轻质墙体在工程中的应用，做到技术先进、安全适用、节能环保、经济合理、保证质量，制订本标准。</w:t>
      </w:r>
    </w:p>
    <w:p>
      <w:pPr>
        <w:snapToGrid w:val="0"/>
        <w:rPr>
          <w:rFonts w:cs="Times New Roman"/>
        </w:rPr>
      </w:pPr>
      <w:r>
        <w:rPr>
          <w:rStyle w:val="22"/>
          <w:rFonts w:ascii="Times New Roman" w:hAnsi="Times New Roman" w:cs="Times New Roman"/>
        </w:rPr>
        <w:t>1.0.2</w:t>
      </w:r>
      <w:r>
        <w:rPr>
          <w:rFonts w:cs="Times New Roman"/>
        </w:rPr>
        <w:t> 本标准适用于抗震设防烈度为9度及以下地区的</w:t>
      </w:r>
      <w:r>
        <w:rPr>
          <w:rFonts w:hint="eastAsia" w:cs="Times New Roman"/>
        </w:rPr>
        <w:t>工业和</w:t>
      </w:r>
      <w:r>
        <w:rPr>
          <w:rFonts w:cs="Times New Roman"/>
        </w:rPr>
        <w:t>民用建筑采用装配式复合轻质墙体作为非承重</w:t>
      </w:r>
      <w:r>
        <w:rPr>
          <w:rFonts w:hint="eastAsia" w:cs="Times New Roman"/>
        </w:rPr>
        <w:t>墙体</w:t>
      </w:r>
      <w:r>
        <w:rPr>
          <w:rFonts w:cs="Times New Roman"/>
        </w:rPr>
        <w:t>的设计、施工及验收。</w:t>
      </w:r>
    </w:p>
    <w:p>
      <w:pPr>
        <w:snapToGrid w:val="0"/>
        <w:rPr>
          <w:rFonts w:cs="Times New Roman"/>
        </w:rPr>
      </w:pPr>
      <w:r>
        <w:rPr>
          <w:rStyle w:val="22"/>
          <w:rFonts w:ascii="Times New Roman" w:hAnsi="Times New Roman" w:cs="Times New Roman"/>
        </w:rPr>
        <w:t>1.0.3</w:t>
      </w:r>
      <w:r>
        <w:rPr>
          <w:rFonts w:cs="Times New Roman"/>
        </w:rPr>
        <w:t> 装配式复合轻质墙体的设计、施工及验收除应符合本标准外，尚应符合国家现行有关标准的规定。</w:t>
      </w:r>
    </w:p>
    <w:p>
      <w:pPr>
        <w:snapToGrid w:val="0"/>
        <w:ind w:firstLine="420" w:firstLineChars="200"/>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pStyle w:val="2"/>
        <w:rPr>
          <w:rFonts w:eastAsia="楷体" w:cs="Times New Roman"/>
          <w:sz w:val="21"/>
          <w:szCs w:val="21"/>
        </w:rPr>
      </w:pPr>
    </w:p>
    <w:p>
      <w:pPr>
        <w:snapToGrid w:val="0"/>
        <w:ind w:firstLine="420" w:firstLineChars="200"/>
        <w:rPr>
          <w:rFonts w:cs="Times New Roman"/>
          <w:sz w:val="21"/>
          <w:szCs w:val="21"/>
        </w:rPr>
      </w:pPr>
    </w:p>
    <w:p>
      <w:pPr>
        <w:snapToGrid w:val="0"/>
        <w:ind w:firstLine="420" w:firstLineChars="200"/>
        <w:rPr>
          <w:rFonts w:cs="Times New Roman"/>
          <w:sz w:val="21"/>
          <w:szCs w:val="21"/>
        </w:rPr>
      </w:pPr>
    </w:p>
    <w:p>
      <w:pPr>
        <w:snapToGrid w:val="0"/>
        <w:ind w:firstLine="420" w:firstLineChars="200"/>
        <w:rPr>
          <w:rFonts w:cs="Times New Roman"/>
          <w:sz w:val="21"/>
          <w:szCs w:val="21"/>
        </w:rPr>
      </w:pPr>
    </w:p>
    <w:p>
      <w:pPr>
        <w:snapToGrid w:val="0"/>
        <w:ind w:firstLine="420" w:firstLineChars="200"/>
        <w:rPr>
          <w:rFonts w:cs="Times New Roman"/>
          <w:sz w:val="21"/>
          <w:szCs w:val="21"/>
        </w:rPr>
      </w:pPr>
    </w:p>
    <w:p>
      <w:pPr>
        <w:snapToGrid w:val="0"/>
        <w:ind w:firstLine="420" w:firstLineChars="200"/>
        <w:rPr>
          <w:rFonts w:cs="Times New Roman"/>
          <w:sz w:val="21"/>
          <w:szCs w:val="21"/>
        </w:rPr>
      </w:pPr>
    </w:p>
    <w:p>
      <w:pPr>
        <w:pStyle w:val="3"/>
        <w:snapToGrid w:val="0"/>
        <w:spacing w:before="0" w:after="0" w:line="360" w:lineRule="auto"/>
        <w:rPr>
          <w:rFonts w:ascii="Times New Roman" w:hAnsi="Times New Roman" w:cs="Times New Roman"/>
        </w:rPr>
      </w:pPr>
      <w:bookmarkStart w:id="27" w:name="_Toc27232"/>
      <w:bookmarkStart w:id="28" w:name="_Toc12809"/>
      <w:bookmarkStart w:id="29" w:name="_Toc152"/>
      <w:r>
        <w:rPr>
          <w:rFonts w:ascii="Times New Roman" w:hAnsi="Times New Roman" w:cs="Times New Roman"/>
        </w:rPr>
        <w:t>2  术语</w:t>
      </w:r>
      <w:bookmarkEnd w:id="27"/>
      <w:bookmarkEnd w:id="28"/>
      <w:r>
        <w:rPr>
          <w:rFonts w:ascii="Times New Roman" w:hAnsi="Times New Roman" w:cs="Times New Roman"/>
        </w:rPr>
        <w:t>和符号</w:t>
      </w:r>
      <w:bookmarkEnd w:id="29"/>
    </w:p>
    <w:p/>
    <w:p>
      <w:pPr>
        <w:pStyle w:val="4"/>
        <w:snapToGrid w:val="0"/>
        <w:spacing w:before="0" w:after="0" w:line="360" w:lineRule="auto"/>
        <w:rPr>
          <w:rFonts w:ascii="Times New Roman" w:hAnsi="Times New Roman" w:cs="Times New Roman"/>
        </w:rPr>
      </w:pPr>
      <w:bookmarkStart w:id="30" w:name="_Toc15884"/>
      <w:r>
        <w:rPr>
          <w:rFonts w:hint="eastAsia" w:ascii="Times New Roman" w:hAnsi="Times New Roman" w:cs="Times New Roman"/>
        </w:rPr>
        <w:t>2</w:t>
      </w:r>
      <w:r>
        <w:rPr>
          <w:rFonts w:ascii="Times New Roman" w:hAnsi="Times New Roman" w:cs="Times New Roman"/>
        </w:rPr>
        <w:t>.1  </w:t>
      </w:r>
      <w:r>
        <w:rPr>
          <w:rFonts w:hint="eastAsia" w:ascii="Times New Roman" w:hAnsi="Times New Roman" w:cs="Times New Roman"/>
        </w:rPr>
        <w:t>术语</w:t>
      </w:r>
      <w:bookmarkEnd w:id="30"/>
    </w:p>
    <w:p>
      <w:pPr>
        <w:snapToGrid w:val="0"/>
        <w:rPr>
          <w:rFonts w:cs="Times New Roman"/>
        </w:rPr>
      </w:pPr>
      <w:r>
        <w:rPr>
          <w:rStyle w:val="22"/>
          <w:rFonts w:ascii="Times New Roman" w:hAnsi="Times New Roman" w:cs="Times New Roman"/>
        </w:rPr>
        <w:t>2.</w:t>
      </w:r>
      <w:r>
        <w:rPr>
          <w:rStyle w:val="22"/>
          <w:rFonts w:hint="eastAsia" w:ascii="Times New Roman" w:hAnsi="Times New Roman" w:cs="Times New Roman"/>
        </w:rPr>
        <w:t>1</w:t>
      </w:r>
      <w:r>
        <w:rPr>
          <w:rStyle w:val="22"/>
          <w:rFonts w:ascii="Times New Roman" w:hAnsi="Times New Roman" w:cs="Times New Roman"/>
        </w:rPr>
        <w:t>.1</w:t>
      </w:r>
      <w:r>
        <w:rPr>
          <w:rFonts w:cs="Times New Roman"/>
        </w:rPr>
        <w:t> 装配式复合轻质墙体  cast-in-place integrated wall</w:t>
      </w:r>
    </w:p>
    <w:p>
      <w:pPr>
        <w:snapToGrid w:val="0"/>
        <w:ind w:firstLine="480" w:firstLineChars="200"/>
        <w:rPr>
          <w:rFonts w:cs="Times New Roman"/>
        </w:rPr>
      </w:pPr>
      <w:r>
        <w:rPr>
          <w:rFonts w:hint="eastAsia"/>
        </w:rPr>
        <w:t>墙面板和内置安装的保温板、管线通过在预留</w:t>
      </w:r>
      <w:r>
        <w:rPr>
          <w:rFonts w:hint="eastAsia" w:cs="Times New Roman"/>
        </w:rPr>
        <w:t>注浆</w:t>
      </w:r>
      <w:r>
        <w:rPr>
          <w:rFonts w:cs="Times New Roman"/>
        </w:rPr>
        <w:t>仓</w:t>
      </w:r>
      <w:r>
        <w:rPr>
          <w:rFonts w:hint="eastAsia"/>
        </w:rPr>
        <w:t>中浇筑注仓料，复合而成的一种新型墙体</w:t>
      </w:r>
      <w:r>
        <w:rPr>
          <w:rFonts w:cs="Times New Roman"/>
        </w:rPr>
        <w:t>。</w:t>
      </w:r>
      <w:r>
        <w:rPr>
          <w:rFonts w:hint="eastAsia" w:cs="Times New Roman"/>
        </w:rPr>
        <w:t>以下简称墙体。</w:t>
      </w:r>
    </w:p>
    <w:p>
      <w:pPr>
        <w:snapToGrid w:val="0"/>
        <w:rPr>
          <w:rFonts w:cs="Times New Roman"/>
        </w:rPr>
      </w:pPr>
      <w:r>
        <w:rPr>
          <w:rStyle w:val="22"/>
          <w:rFonts w:ascii="Times New Roman" w:hAnsi="Times New Roman" w:cs="Times New Roman"/>
        </w:rPr>
        <w:t>2.</w:t>
      </w:r>
      <w:r>
        <w:rPr>
          <w:rStyle w:val="22"/>
          <w:rFonts w:hint="eastAsia" w:ascii="Times New Roman" w:hAnsi="Times New Roman" w:cs="Times New Roman"/>
        </w:rPr>
        <w:t>1</w:t>
      </w:r>
      <w:r>
        <w:rPr>
          <w:rStyle w:val="22"/>
          <w:rFonts w:ascii="Times New Roman" w:hAnsi="Times New Roman" w:cs="Times New Roman"/>
        </w:rPr>
        <w:t>.2</w:t>
      </w:r>
      <w:r>
        <w:rPr>
          <w:rFonts w:cs="Times New Roman"/>
        </w:rPr>
        <w:t> </w:t>
      </w:r>
      <w:r>
        <w:rPr>
          <w:rFonts w:hint="eastAsia" w:cs="Times New Roman"/>
        </w:rPr>
        <w:t>注浆</w:t>
      </w:r>
      <w:r>
        <w:rPr>
          <w:rFonts w:cs="Times New Roman"/>
        </w:rPr>
        <w:t>仓  interval between interfaces</w:t>
      </w:r>
    </w:p>
    <w:p>
      <w:pPr>
        <w:snapToGrid w:val="0"/>
        <w:ind w:firstLine="480" w:firstLineChars="200"/>
        <w:rPr>
          <w:rStyle w:val="22"/>
          <w:rFonts w:ascii="Times New Roman" w:hAnsi="Times New Roman" w:cs="Times New Roman"/>
        </w:rPr>
      </w:pPr>
      <w:r>
        <w:rPr>
          <w:rFonts w:cs="Times New Roman"/>
        </w:rPr>
        <w:t>不同材料界面之间预留的浇筑轻混凝土的通道。</w:t>
      </w:r>
    </w:p>
    <w:p>
      <w:pPr>
        <w:snapToGrid w:val="0"/>
        <w:rPr>
          <w:rFonts w:cs="Times New Roman"/>
        </w:rPr>
      </w:pPr>
      <w:r>
        <w:rPr>
          <w:rStyle w:val="22"/>
          <w:rFonts w:ascii="Times New Roman" w:hAnsi="Times New Roman" w:cs="Times New Roman"/>
        </w:rPr>
        <w:t>2.</w:t>
      </w:r>
      <w:r>
        <w:rPr>
          <w:rStyle w:val="22"/>
          <w:rFonts w:hint="eastAsia" w:ascii="Times New Roman" w:hAnsi="Times New Roman" w:cs="Times New Roman"/>
        </w:rPr>
        <w:t>1</w:t>
      </w:r>
      <w:r>
        <w:rPr>
          <w:rStyle w:val="22"/>
          <w:rFonts w:ascii="Times New Roman" w:hAnsi="Times New Roman" w:cs="Times New Roman"/>
        </w:rPr>
        <w:t>.3</w:t>
      </w:r>
      <w:r>
        <w:rPr>
          <w:rFonts w:cs="Times New Roman"/>
        </w:rPr>
        <w:t> 墙面板  wall panel</w:t>
      </w:r>
    </w:p>
    <w:p>
      <w:pPr>
        <w:snapToGrid w:val="0"/>
        <w:ind w:firstLine="480" w:firstLineChars="200"/>
      </w:pPr>
      <w:r>
        <w:rPr>
          <w:rFonts w:hint="eastAsia"/>
        </w:rPr>
        <w:t>安装在墙体两侧的预制混凝土板材。</w:t>
      </w:r>
    </w:p>
    <w:p>
      <w:pPr>
        <w:snapToGrid w:val="0"/>
      </w:pPr>
      <w:r>
        <w:rPr>
          <w:rStyle w:val="22"/>
          <w:rFonts w:hint="eastAsia" w:ascii="Times New Roman" w:hAnsi="Times New Roman" w:cs="Times New Roman"/>
        </w:rPr>
        <w:t xml:space="preserve">2.1.4 </w:t>
      </w:r>
      <w:r>
        <w:rPr>
          <w:rFonts w:hint="eastAsia"/>
        </w:rPr>
        <w:t xml:space="preserve">洞口板  openings </w:t>
      </w:r>
      <w:r>
        <w:rPr>
          <w:rFonts w:cs="Times New Roman"/>
        </w:rPr>
        <w:t>panel</w:t>
      </w:r>
    </w:p>
    <w:p>
      <w:pPr>
        <w:ind w:firstLine="480" w:firstLineChars="200"/>
        <w:rPr>
          <w:rStyle w:val="22"/>
          <w:rFonts w:cs="宋体"/>
        </w:rPr>
      </w:pPr>
      <w:r>
        <w:rPr>
          <w:rFonts w:hint="eastAsia"/>
        </w:rPr>
        <w:t>安装在墙体端部和洞口两侧的预制混凝土板材。</w:t>
      </w:r>
    </w:p>
    <w:p>
      <w:pPr>
        <w:snapToGrid w:val="0"/>
      </w:pPr>
      <w:r>
        <w:rPr>
          <w:rStyle w:val="22"/>
          <w:rFonts w:hint="eastAsia" w:ascii="Times New Roman" w:hAnsi="Times New Roman" w:cs="Times New Roman"/>
        </w:rPr>
        <w:t xml:space="preserve">2.1.5 </w:t>
      </w:r>
      <w:r>
        <w:rPr>
          <w:rFonts w:hint="eastAsia"/>
        </w:rPr>
        <w:t>过梁板 lintel panel</w:t>
      </w:r>
    </w:p>
    <w:p>
      <w:pPr>
        <w:snapToGrid w:val="0"/>
        <w:ind w:firstLine="480" w:firstLineChars="200"/>
        <w:rPr>
          <w:rStyle w:val="22"/>
          <w:rFonts w:cs="宋体"/>
        </w:rPr>
      </w:pPr>
      <w:r>
        <w:rPr>
          <w:rFonts w:hint="eastAsia"/>
        </w:rPr>
        <w:t>安装在洞口上、下的预制混凝土板材。</w:t>
      </w:r>
    </w:p>
    <w:p>
      <w:pPr>
        <w:snapToGrid w:val="0"/>
        <w:rPr>
          <w:rFonts w:cs="Times New Roman"/>
        </w:rPr>
      </w:pPr>
      <w:r>
        <w:rPr>
          <w:rStyle w:val="22"/>
          <w:rFonts w:ascii="Times New Roman" w:hAnsi="Times New Roman" w:cs="Times New Roman"/>
        </w:rPr>
        <w:t>2.</w:t>
      </w:r>
      <w:r>
        <w:rPr>
          <w:rStyle w:val="22"/>
          <w:rFonts w:hint="eastAsia" w:ascii="Times New Roman" w:hAnsi="Times New Roman" w:cs="Times New Roman"/>
        </w:rPr>
        <w:t>1</w:t>
      </w:r>
      <w:r>
        <w:rPr>
          <w:rStyle w:val="22"/>
          <w:rFonts w:ascii="Times New Roman" w:hAnsi="Times New Roman" w:cs="Times New Roman"/>
        </w:rPr>
        <w:t>.</w:t>
      </w:r>
      <w:r>
        <w:rPr>
          <w:rStyle w:val="22"/>
          <w:rFonts w:hint="eastAsia" w:ascii="Times New Roman" w:hAnsi="Times New Roman" w:cs="Times New Roman"/>
        </w:rPr>
        <w:t>6</w:t>
      </w:r>
      <w:r>
        <w:rPr>
          <w:rFonts w:cs="Times New Roman"/>
        </w:rPr>
        <w:t> 连接件 clip</w:t>
      </w:r>
    </w:p>
    <w:p>
      <w:pPr>
        <w:snapToGrid w:val="0"/>
        <w:ind w:firstLine="480" w:firstLineChars="200"/>
        <w:rPr>
          <w:rFonts w:cs="Times New Roman"/>
        </w:rPr>
      </w:pPr>
      <w:r>
        <w:rPr>
          <w:rFonts w:cs="Times New Roman"/>
        </w:rPr>
        <w:t>墙面板之间、墙面板与主体结构之间起连接作用的</w:t>
      </w:r>
      <w:r>
        <w:rPr>
          <w:rFonts w:hint="eastAsia" w:cs="Times New Roman"/>
        </w:rPr>
        <w:t>功能</w:t>
      </w:r>
      <w:r>
        <w:rPr>
          <w:rFonts w:cs="Times New Roman"/>
        </w:rPr>
        <w:t>件。</w:t>
      </w:r>
    </w:p>
    <w:p>
      <w:pPr>
        <w:snapToGrid w:val="0"/>
      </w:pPr>
      <w:r>
        <w:rPr>
          <w:rStyle w:val="22"/>
          <w:rFonts w:hint="eastAsia" w:ascii="Times New Roman" w:hAnsi="Times New Roman" w:cs="Times New Roman"/>
        </w:rPr>
        <w:t xml:space="preserve">2.1.7 </w:t>
      </w:r>
      <w:r>
        <w:rPr>
          <w:rFonts w:hint="eastAsia"/>
        </w:rPr>
        <w:t xml:space="preserve">注仓料  gunite </w:t>
      </w:r>
    </w:p>
    <w:p>
      <w:pPr>
        <w:snapToGrid w:val="0"/>
        <w:ind w:firstLine="480" w:firstLineChars="200"/>
      </w:pPr>
      <w:r>
        <w:rPr>
          <w:rFonts w:hint="eastAsia"/>
        </w:rPr>
        <w:t>填充注浆仓的浆料。</w:t>
      </w:r>
    </w:p>
    <w:p>
      <w:pPr>
        <w:snapToGrid w:val="0"/>
        <w:rPr>
          <w:rFonts w:cs="Times New Roman"/>
        </w:rPr>
      </w:pPr>
      <w:r>
        <w:rPr>
          <w:rStyle w:val="22"/>
          <w:rFonts w:ascii="Times New Roman" w:hAnsi="Times New Roman" w:cs="Times New Roman"/>
        </w:rPr>
        <w:t>2.</w:t>
      </w:r>
      <w:r>
        <w:rPr>
          <w:rStyle w:val="22"/>
          <w:rFonts w:hint="eastAsia" w:ascii="Times New Roman" w:hAnsi="Times New Roman" w:cs="Times New Roman"/>
        </w:rPr>
        <w:t>1</w:t>
      </w:r>
      <w:r>
        <w:rPr>
          <w:rStyle w:val="22"/>
          <w:rFonts w:ascii="Times New Roman" w:hAnsi="Times New Roman" w:cs="Times New Roman"/>
        </w:rPr>
        <w:t>.8</w:t>
      </w:r>
      <w:r>
        <w:rPr>
          <w:rFonts w:cs="Times New Roman"/>
        </w:rPr>
        <w:t> 工具式模板  tool-typed formwork</w:t>
      </w:r>
    </w:p>
    <w:p>
      <w:pPr>
        <w:snapToGrid w:val="0"/>
        <w:ind w:firstLine="480"/>
        <w:rPr>
          <w:rFonts w:cs="Times New Roman"/>
        </w:rPr>
      </w:pPr>
      <w:r>
        <w:rPr>
          <w:rFonts w:hint="eastAsia"/>
        </w:rPr>
        <w:t>浇筑</w:t>
      </w:r>
      <w:r>
        <w:rPr>
          <w:rFonts w:hint="eastAsia" w:cs="Times New Roman"/>
        </w:rPr>
        <w:t>注浆</w:t>
      </w:r>
      <w:r>
        <w:rPr>
          <w:rFonts w:cs="Times New Roman"/>
        </w:rPr>
        <w:t>仓</w:t>
      </w:r>
      <w:r>
        <w:rPr>
          <w:rFonts w:hint="eastAsia"/>
        </w:rPr>
        <w:t>时，安装在墙体两侧，墙面板间隙处的板材，定尺加工、可以整体装拆周转使用。</w:t>
      </w:r>
    </w:p>
    <w:p>
      <w:pPr>
        <w:snapToGrid w:val="0"/>
        <w:ind w:firstLine="480"/>
        <w:rPr>
          <w:rFonts w:cs="Times New Roman"/>
        </w:rPr>
      </w:pPr>
    </w:p>
    <w:p>
      <w:pPr>
        <w:pStyle w:val="4"/>
        <w:snapToGrid w:val="0"/>
        <w:spacing w:before="0" w:after="0" w:line="360" w:lineRule="auto"/>
        <w:rPr>
          <w:rFonts w:ascii="Times New Roman" w:hAnsi="Times New Roman" w:cs="Times New Roman"/>
        </w:rPr>
      </w:pPr>
      <w:bookmarkStart w:id="31" w:name="_Toc25287"/>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  </w:t>
      </w:r>
      <w:r>
        <w:rPr>
          <w:rFonts w:hint="eastAsia" w:ascii="Times New Roman" w:hAnsi="Times New Roman" w:cs="Times New Roman"/>
        </w:rPr>
        <w:t>符号</w:t>
      </w:r>
      <w:bookmarkEnd w:id="31"/>
    </w:p>
    <w:p>
      <w:pPr>
        <w:snapToGrid w:val="0"/>
      </w:pPr>
      <w:r>
        <w:rPr>
          <w:rStyle w:val="22"/>
          <w:rFonts w:hint="eastAsia" w:ascii="Times New Roman" w:hAnsi="Times New Roman" w:cs="Times New Roman"/>
        </w:rPr>
        <w:t>2.2.1</w:t>
      </w:r>
      <w:r>
        <w:rPr>
          <w:rFonts w:hint="eastAsia"/>
        </w:rPr>
        <w:t>作用和作用效应</w:t>
      </w:r>
    </w:p>
    <w:p>
      <w:pPr>
        <w:snapToGrid w:val="0"/>
        <w:rPr>
          <w:rFonts w:cs="Times New Roman"/>
        </w:rPr>
      </w:pPr>
      <m:oMath>
        <m:sSub>
          <m:sSubPr>
            <m:ctrlPr>
              <w:rPr>
                <w:rFonts w:ascii="Cambria Math" w:hAnsi="Cambria Math" w:cs="Times New Roman"/>
                <w:i/>
              </w:rPr>
            </m:ctrlPr>
          </m:sSubPr>
          <m:e>
            <m:r>
              <m:rPr/>
              <w:rPr>
                <w:rFonts w:hint="eastAsia" w:ascii="Cambria Math" w:hAnsi="Cambria Math" w:cs="Times New Roman"/>
              </w:rPr>
              <m:t>F</m:t>
            </m:r>
            <m:ctrlPr>
              <w:rPr>
                <w:rFonts w:ascii="Cambria Math" w:hAnsi="Cambria Math" w:cs="Times New Roman"/>
                <w:i/>
              </w:rPr>
            </m:ctrlPr>
          </m:e>
          <m:sub>
            <m:r>
              <m:rPr>
                <m:sty m:val="p"/>
              </m:rPr>
              <w:rPr>
                <w:rFonts w:hint="eastAsia" w:ascii="Cambria Math" w:hAnsi="Cambria Math" w:cs="Times New Roman"/>
              </w:rPr>
              <m:t>l</m:t>
            </m:r>
            <m:ctrlPr>
              <w:rPr>
                <w:rFonts w:ascii="Cambria Math" w:hAnsi="Cambria Math" w:cs="Times New Roman"/>
                <w:i/>
              </w:rPr>
            </m:ctrlPr>
          </m:sub>
        </m:sSub>
      </m:oMath>
      <w:r>
        <w:rPr>
          <w:rFonts w:cs="Times New Roman"/>
        </w:rPr>
        <w:t>——</w:t>
      </w:r>
      <w:r>
        <w:rPr>
          <w:rFonts w:hint="eastAsia" w:cs="Times New Roman"/>
        </w:rPr>
        <w:t>局部受压面上作用的局部荷载或局部压力设计值；</w:t>
      </w:r>
    </w:p>
    <w:p>
      <w:pPr>
        <w:snapToGrid w:val="0"/>
      </w:pPr>
      <m:oMath>
        <m:r>
          <m:rPr/>
          <w:rPr>
            <w:rFonts w:ascii="Cambria Math" w:hAnsi="Cambria Math" w:cs="宋体"/>
          </w:rPr>
          <m:t>N</m:t>
        </m:r>
      </m:oMath>
      <w:r>
        <w:t>——</w:t>
      </w:r>
      <w:r>
        <w:rPr>
          <w:rFonts w:hint="eastAsia"/>
        </w:rPr>
        <w:t>墙体竖向荷载设计值；</w:t>
      </w:r>
    </w:p>
    <w:p>
      <w:pPr>
        <w:snapToGrid w:val="0"/>
        <w:rPr>
          <w:rFonts w:cs="Times New Roman"/>
        </w:rPr>
      </w:p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Sub>
      </m:oMath>
      <w:r>
        <w:rPr>
          <w:rFonts w:cs="Times New Roman"/>
        </w:rPr>
        <w:t>——连接件所承受的拉力；</w:t>
      </w:r>
    </w:p>
    <w:p>
      <w:pPr>
        <w:snapToGrid w:val="0"/>
      </w:pP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oMath>
      <w:r>
        <w:rPr>
          <w:rFonts w:cs="Times New Roman"/>
        </w:rPr>
        <w:t>——连接件所承受的剪力；</w:t>
      </w:r>
    </w:p>
    <w:p>
      <w:pPr>
        <w:snapToGrid w:val="0"/>
        <w:rPr>
          <w:rFonts w:cs="Times New Roman"/>
        </w:rPr>
      </w:p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oMath>
      <w:r>
        <w:rPr>
          <w:rFonts w:cs="Times New Roman"/>
        </w:rPr>
        <w:t>——自攻螺钉或射钉的抗拉承载力设计值；</w:t>
      </w:r>
    </w:p>
    <w:p>
      <w:pPr>
        <w:snapToGrid w:val="0"/>
        <w:rPr>
          <w:rFonts w:cs="Times New Roman"/>
        </w:rPr>
      </w:p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oMath>
      <w:r>
        <w:rPr>
          <w:rFonts w:cs="Times New Roman"/>
        </w:rPr>
        <w:t>——连接件的抗剪承载力设计值；</w:t>
      </w:r>
    </w:p>
    <w:p>
      <w:pPr>
        <w:snapToGrid w:val="0"/>
      </w:pPr>
      <m:oMath>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E</m:t>
            </m:r>
            <m:ctrlPr>
              <w:rPr>
                <w:rFonts w:ascii="Cambria Math" w:hAnsi="Cambria Math"/>
              </w:rPr>
            </m:ctrlPr>
          </m:sub>
        </m:sSub>
      </m:oMath>
      <w:r>
        <w:t>——垂直于墙体的水平作用组合设计值；</w:t>
      </w:r>
    </w:p>
    <w:p>
      <w:pPr>
        <w:snapToGrid w:val="0"/>
        <w:rPr>
          <w:rStyle w:val="22"/>
          <w:rFonts w:ascii="Times New Roman" w:hAnsi="Times New Roman" w:cs="Times New Roman"/>
        </w:rPr>
      </w:pPr>
      <m:oMath>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eq</m:t>
            </m:r>
            <m:ctrlPr>
              <w:rPr>
                <w:rFonts w:ascii="Cambria Math" w:hAnsi="Cambria Math"/>
              </w:rPr>
            </m:ctrlPr>
          </m:sub>
        </m:sSub>
      </m:oMath>
      <w:r>
        <w:t>——墙板等效水平荷载</w:t>
      </w:r>
      <w:r>
        <w:rPr>
          <w:rFonts w:hint="eastAsia"/>
        </w:rPr>
        <w:t>。</w:t>
      </w:r>
    </w:p>
    <w:p>
      <w:pPr>
        <w:snapToGrid w:val="0"/>
      </w:pPr>
      <w:r>
        <w:rPr>
          <w:rStyle w:val="22"/>
          <w:rFonts w:hint="eastAsia" w:ascii="Times New Roman" w:hAnsi="Times New Roman" w:cs="Times New Roman"/>
        </w:rPr>
        <w:t>2.2.2</w:t>
      </w:r>
      <w:r>
        <w:rPr>
          <w:rFonts w:hint="eastAsia"/>
        </w:rPr>
        <w:t>计算指标</w:t>
      </w:r>
    </w:p>
    <w:p>
      <w:pPr>
        <w:snapToGrid w:val="0"/>
      </w:pPr>
      <w:r>
        <w:rPr>
          <w:rFonts w:hint="eastAsia"/>
          <w:i/>
          <w:iCs/>
        </w:rPr>
        <w:t>f</w:t>
      </w:r>
      <w:r>
        <w:t>——</w:t>
      </w:r>
      <w:r>
        <w:rPr>
          <w:rFonts w:hint="eastAsia"/>
        </w:rPr>
        <w:t>连接件的抗拉、抗压和抗弯强度设计值；</w:t>
      </w:r>
    </w:p>
    <w:p>
      <w:pPr>
        <w:snapToGrid w:val="0"/>
      </w:pP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hint="eastAsia" w:ascii="Cambria Math" w:hAnsi="Cambria Math"/>
              </w:rPr>
              <m:t>a</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hint="eastAsia" w:ascii="Cambria Math" w:hAnsi="Cambria Math"/>
              </w:rPr>
              <m:t>b</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hint="eastAsia" w:ascii="Cambria Math" w:hAnsi="Cambria Math"/>
              </w:rPr>
              <m:t>q</m:t>
            </m:r>
            <m:ctrlPr>
              <w:rPr>
                <w:rFonts w:ascii="Cambria Math" w:hAnsi="Cambria Math"/>
              </w:rPr>
            </m:ctrlPr>
          </m:sub>
        </m:sSub>
      </m:oMath>
      <w:r>
        <w:rPr>
          <w:rFonts w:hint="eastAsia"/>
        </w:rPr>
        <w:t>——与热流平行方向各部分面积占总面积的百分比；</w:t>
      </w:r>
    </w:p>
    <w:p>
      <w:pPr>
        <w:snapToGrid w:val="0"/>
        <w:rPr>
          <w:rFonts w:cs="Times New Roman"/>
        </w:rPr>
      </w:pPr>
      <m:oMath>
        <m:sSub>
          <m:sSubPr>
            <m:ctrlPr>
              <w:rPr>
                <w:rFonts w:ascii="Cambria Math" w:hAnsi="Cambria Math" w:cs="Times New Roman"/>
                <w:i/>
              </w:rPr>
            </m:ctrlPr>
          </m:sSubPr>
          <m:e>
            <m:r>
              <m:rPr/>
              <w:rPr>
                <w:rFonts w:hint="eastAsia" w:ascii="Cambria Math" w:hAnsi="Cambria Math" w:cs="Times New Roman"/>
              </w:rPr>
              <m:t>f</m:t>
            </m:r>
            <m:ctrlPr>
              <w:rPr>
                <w:rFonts w:ascii="Cambria Math" w:hAnsi="Cambria Math" w:cs="Times New Roman"/>
                <w:i/>
              </w:rPr>
            </m:ctrlPr>
          </m:e>
          <m:sub>
            <m:r>
              <m:rPr>
                <m:sty m:val="p"/>
              </m:rPr>
              <w:rPr>
                <w:rFonts w:hint="eastAsia" w:ascii="Cambria Math" w:hAnsi="Cambria Math" w:cs="Times New Roman"/>
              </w:rPr>
              <m:t>cc</m:t>
            </m:r>
            <m:ctrlPr>
              <w:rPr>
                <w:rFonts w:ascii="Cambria Math" w:hAnsi="Cambria Math" w:cs="Times New Roman"/>
                <w:i/>
              </w:rPr>
            </m:ctrlPr>
          </m:sub>
        </m:sSub>
      </m:oMath>
      <w:r>
        <w:rPr>
          <w:rFonts w:cs="Times New Roman"/>
        </w:rPr>
        <w:t>——</w:t>
      </w:r>
      <w:r>
        <w:rPr>
          <w:rFonts w:hint="eastAsia" w:cs="Times New Roman"/>
        </w:rPr>
        <w:t>素混凝土轴心抗压强度设计值；</w:t>
      </w:r>
    </w:p>
    <w:p>
      <w:pPr>
        <w:snapToGrid w:val="0"/>
        <w:rPr>
          <w:rFonts w:hint="eastAsia" w:hAnsi="Cambria Math" w:cs="宋体"/>
        </w:rPr>
      </w:pPr>
      <m:oMath>
        <m:sSub>
          <m:sSubPr>
            <m:ctrlPr>
              <w:rPr>
                <w:rFonts w:hint="eastAsia" w:ascii="Cambria Math" w:hAnsi="Cambria Math" w:cs="宋体"/>
                <w:i/>
              </w:rPr>
            </m:ctrlPr>
          </m:sSubPr>
          <m:e>
            <m:r>
              <m:rPr/>
              <w:rPr>
                <w:rFonts w:ascii="Cambria Math" w:hAnsi="Cambria Math" w:cs="宋体"/>
              </w:rPr>
              <m:t>f</m:t>
            </m:r>
            <m:ctrlPr>
              <w:rPr>
                <w:rFonts w:hint="eastAsia" w:ascii="Cambria Math" w:hAnsi="Cambria Math" w:cs="宋体"/>
                <w:i/>
              </w:rPr>
            </m:ctrlPr>
          </m:e>
          <m:sub>
            <m:r>
              <m:rPr>
                <m:sty m:val="p"/>
              </m:rPr>
              <w:rPr>
                <w:rFonts w:hint="eastAsia" w:ascii="Cambria Math" w:hAnsi="Cambria Math" w:cs="宋体"/>
              </w:rPr>
              <m:t>v</m:t>
            </m:r>
            <m:ctrlPr>
              <w:rPr>
                <w:rFonts w:hint="eastAsia" w:ascii="Cambria Math" w:hAnsi="Cambria Math" w:cs="宋体"/>
                <w:i/>
              </w:rPr>
            </m:ctrlPr>
          </m:sub>
        </m:sSub>
      </m:oMath>
      <w:r>
        <w:t>——</w:t>
      </w:r>
      <w:r>
        <w:rPr>
          <w:rFonts w:hint="eastAsia"/>
        </w:rPr>
        <w:t>钢材的抗剪强度设计值</w:t>
      </w:r>
      <w:r>
        <w:rPr>
          <w:rFonts w:hint="eastAsia" w:hAnsi="Cambria Math" w:cs="宋体"/>
        </w:rPr>
        <w:t>；</w:t>
      </w:r>
    </w:p>
    <w:p>
      <w:pPr>
        <w:snapToGrid w:val="0"/>
      </w:pPr>
      <m:oMath>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r</m:t>
            </m:r>
            <m:ctrlPr>
              <w:rPr>
                <w:rFonts w:ascii="Cambria Math" w:hAnsi="Cambria Math"/>
              </w:rPr>
            </m:ctrlPr>
          </m:sub>
        </m:sSub>
      </m:oMath>
      <w:r>
        <w:t>——抗弯破坏荷载；</w:t>
      </w:r>
    </w:p>
    <w:p>
      <w:pPr>
        <w:snapToGrid w:val="0"/>
      </w:pPr>
      <w:r>
        <w:rPr>
          <w:i/>
          <w:iCs/>
        </w:rPr>
        <w:t>R</w:t>
      </w:r>
      <w:r>
        <w:t>——空气声计权隔声量；</w:t>
      </w:r>
    </w:p>
    <w:p>
      <w:pPr>
        <w:snapToGrid w:val="0"/>
      </w:pPr>
      <m:oMath>
        <m:bar>
          <m:barPr>
            <m:pos m:val="top"/>
            <m:ctrlPr>
              <w:rPr>
                <w:rFonts w:hint="eastAsia" w:ascii="Cambria Math" w:hAnsi="Cambria Math"/>
              </w:rPr>
            </m:ctrlPr>
          </m:barPr>
          <m:e>
            <m:r>
              <m:rPr/>
              <w:rPr>
                <w:rFonts w:ascii="Cambria Math" w:hAnsi="Cambria Math"/>
              </w:rPr>
              <m:t>R</m:t>
            </m:r>
            <m:ctrlPr>
              <w:rPr>
                <w:rFonts w:hint="eastAsia" w:ascii="Cambria Math" w:hAnsi="Cambria Math"/>
              </w:rPr>
            </m:ctrlPr>
          </m:e>
        </m:bar>
      </m:oMath>
      <w:r>
        <w:rPr>
          <w:rFonts w:hint="eastAsia"/>
        </w:rPr>
        <w:t>——非匀质复合围护结构的热阻；</w:t>
      </w:r>
    </w:p>
    <w:p>
      <w:pPr>
        <w:snapToGrid w:val="0"/>
      </w:pP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e</m:t>
            </m:r>
            <m:ctrlPr>
              <w:rPr>
                <w:rFonts w:ascii="Cambria Math" w:hAnsi="Cambria Math"/>
              </w:rPr>
            </m:ctrlPr>
          </m:sub>
        </m:sSub>
      </m:oMath>
      <w:r>
        <w:t>——</w:t>
      </w:r>
      <w:r>
        <w:rPr>
          <w:rFonts w:hint="eastAsia"/>
        </w:rPr>
        <w:t>外表面换热阻；</w:t>
      </w:r>
    </w:p>
    <w:p>
      <w:pPr>
        <w:snapToGrid w:val="0"/>
      </w:pP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i</m:t>
            </m:r>
            <m:ctrlPr>
              <w:rPr>
                <w:rFonts w:ascii="Cambria Math" w:hAnsi="Cambria Math"/>
              </w:rPr>
            </m:ctrlPr>
          </m:sub>
        </m:sSub>
      </m:oMath>
      <w:r>
        <w:t>——</w:t>
      </w:r>
      <w:r>
        <w:rPr>
          <w:rFonts w:hint="eastAsia"/>
        </w:rPr>
        <w:t>内表面换热阻；</w:t>
      </w:r>
    </w:p>
    <w:p>
      <w:pPr>
        <w:snapToGrid w:val="0"/>
      </w:pP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aj</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bj</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qj</m:t>
            </m:r>
            <m:ctrlPr>
              <w:rPr>
                <w:rFonts w:ascii="Cambria Math" w:hAnsi="Cambria Math"/>
              </w:rPr>
            </m:ctrlPr>
          </m:sub>
        </m:sSub>
      </m:oMath>
      <w:r>
        <w:t>——</w:t>
      </w:r>
      <w:r>
        <w:rPr>
          <w:rFonts w:hint="eastAsia"/>
        </w:rPr>
        <w:t>与热流垂直方向各部分的传热阻；</w:t>
      </w:r>
    </w:p>
    <w:p>
      <w:pPr>
        <w:snapToGrid w:val="0"/>
      </w:pP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oua</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oub</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ouq</m:t>
            </m:r>
            <m:ctrlPr>
              <w:rPr>
                <w:rFonts w:ascii="Cambria Math" w:hAnsi="Cambria Math"/>
              </w:rPr>
            </m:ctrlPr>
          </m:sub>
        </m:sSub>
      </m:oMath>
      <w:r>
        <w:t>——</w:t>
      </w:r>
      <w:r>
        <w:rPr>
          <w:rFonts w:hint="eastAsia"/>
        </w:rPr>
        <w:t>与热流平行方向各部分的传热阻；</w:t>
      </w:r>
      <w:r>
        <w:rPr>
          <w:rFonts w:cs="Times New Roman"/>
        </w:rPr>
        <w:t xml:space="preserve">   </w:t>
      </w:r>
    </w:p>
    <w:p>
      <w:pPr>
        <w:snapToGrid w:val="0"/>
        <w:rPr>
          <w:rFonts w:cs="Times New Roman"/>
        </w:rPr>
      </w:pPr>
      <m:oMath>
        <m:sSub>
          <m:sSubPr>
            <m:ctrlPr>
              <w:rPr>
                <w:rFonts w:ascii="Cambria Math" w:hAnsi="Cambria Math" w:cs="Times New Roman"/>
                <w:i/>
              </w:rPr>
            </m:ctrlPr>
          </m:sSubPr>
          <m:e>
            <m:r>
              <m:rPr/>
              <w:rPr>
                <w:rFonts w:hint="eastAsia" w:ascii="Cambria Math" w:hAnsi="Cambria Math" w:cs="Times New Roman"/>
              </w:rPr>
              <m:t>β</m:t>
            </m:r>
            <m:ctrlPr>
              <w:rPr>
                <w:rFonts w:ascii="Cambria Math" w:hAnsi="Cambria Math" w:cs="Times New Roman"/>
                <w:i/>
              </w:rPr>
            </m:ctrlPr>
          </m:e>
          <m:sub>
            <m:r>
              <m:rPr>
                <m:sty m:val="p"/>
              </m:rPr>
              <w:rPr>
                <w:rFonts w:hint="eastAsia" w:ascii="Cambria Math" w:hAnsi="Cambria Math" w:cs="Times New Roman"/>
              </w:rPr>
              <m:t>l</m:t>
            </m:r>
            <m:ctrlPr>
              <w:rPr>
                <w:rFonts w:ascii="Cambria Math" w:hAnsi="Cambria Math" w:cs="Times New Roman"/>
                <w:i/>
              </w:rPr>
            </m:ctrlPr>
          </m:sub>
        </m:sSub>
      </m:oMath>
      <w:r>
        <w:rPr>
          <w:rFonts w:cs="Times New Roman"/>
        </w:rPr>
        <w:t>——</w:t>
      </w:r>
      <w:r>
        <w:rPr>
          <w:rFonts w:hint="eastAsia" w:cs="Times New Roman"/>
        </w:rPr>
        <w:t>混凝土受压时的强度提高系数；</w:t>
      </w:r>
    </w:p>
    <w:p>
      <w:pPr>
        <w:snapToGrid w:val="0"/>
        <w:rPr>
          <w:rFonts w:cs="Times New Roman"/>
        </w:rPr>
      </w:pP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oMath>
      <w:r>
        <w:rPr>
          <w:rFonts w:cs="Times New Roman"/>
        </w:rPr>
        <w:t>——</w:t>
      </w:r>
      <w:r>
        <w:rPr>
          <w:rFonts w:hint="eastAsia" w:hAnsi="Cambria Math" w:cs="宋体"/>
        </w:rPr>
        <w:t>在轴力作用下的连接件正应力；</w:t>
      </w:r>
    </w:p>
    <w:p>
      <w:pPr>
        <w:snapToGrid w:val="0"/>
        <w:rPr>
          <w:rFonts w:cs="Times New Roman"/>
        </w:rPr>
      </w:pP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hint="eastAsia" w:ascii="Cambria Math" w:hAnsi="Cambria Math" w:cs="宋体"/>
              </w:rPr>
              <m:t>M</m:t>
            </m:r>
            <m:ctrlPr>
              <w:rPr>
                <w:rFonts w:hint="eastAsia" w:ascii="Cambria Math" w:hAnsi="Cambria Math" w:cs="宋体"/>
                <w:i/>
              </w:rPr>
            </m:ctrlPr>
          </m:sub>
        </m:sSub>
      </m:oMath>
      <w:r>
        <w:rPr>
          <w:rFonts w:cs="Times New Roman"/>
        </w:rPr>
        <w:t>——</w:t>
      </w:r>
      <w:r>
        <w:rPr>
          <w:rFonts w:hint="eastAsia" w:hAnsi="Cambria Math" w:cs="宋体"/>
        </w:rPr>
        <w:t>在弯矩作用下的连接件弯曲应力；</w:t>
      </w:r>
    </w:p>
    <w:p>
      <w:pPr>
        <w:snapToGrid w:val="0"/>
        <w:rPr>
          <w:rFonts w:cs="Times New Roman"/>
        </w:rPr>
      </w:pPr>
      <m:oMath>
        <m:r>
          <m:rPr/>
          <w:rPr>
            <w:rFonts w:ascii="Cambria Math" w:hAnsi="Cambria Math" w:cs="宋体"/>
          </w:rPr>
          <m:t>τ</m:t>
        </m:r>
      </m:oMath>
      <w:r>
        <w:rPr>
          <w:rFonts w:cs="Times New Roman"/>
        </w:rPr>
        <w:t>——</w:t>
      </w:r>
      <w:r>
        <w:rPr>
          <w:rFonts w:hint="eastAsia" w:hAnsi="Cambria Math" w:cs="宋体"/>
        </w:rPr>
        <w:t>在剪力作用下的连接件剪应力；</w:t>
      </w:r>
    </w:p>
    <w:p>
      <w:pPr>
        <w:snapToGrid w:val="0"/>
      </w:pPr>
      <m:oMath>
        <m:r>
          <m:rPr/>
          <w:rPr>
            <w:rFonts w:hint="eastAsia" w:ascii="Cambria Math" w:hAnsi="Cambria Math" w:cs="Times New Roman"/>
          </w:rPr>
          <m:t>ω</m:t>
        </m:r>
      </m:oMath>
      <w:r>
        <w:rPr>
          <w:rFonts w:cs="Times New Roman"/>
        </w:rPr>
        <w:t>——</w:t>
      </w:r>
      <w:r>
        <w:rPr>
          <w:rFonts w:hint="eastAsia" w:cs="Times New Roman"/>
        </w:rPr>
        <w:t>荷载分布的影响系数。</w:t>
      </w:r>
    </w:p>
    <w:p>
      <w:pPr>
        <w:snapToGrid w:val="0"/>
      </w:pPr>
      <w:r>
        <w:rPr>
          <w:rStyle w:val="22"/>
          <w:rFonts w:ascii="Times New Roman" w:hAnsi="Times New Roman" w:cs="Times New Roman"/>
        </w:rPr>
        <w:t>2.2.3</w:t>
      </w:r>
      <w:r>
        <w:rPr>
          <w:rFonts w:cs="Times New Roman"/>
        </w:rPr>
        <w:t> </w:t>
      </w:r>
      <w:r>
        <w:rPr>
          <w:rFonts w:hint="eastAsia"/>
        </w:rPr>
        <w:t>几何参数</w:t>
      </w:r>
    </w:p>
    <w:p>
      <w:pPr>
        <w:snapToGrid w:val="0"/>
      </w:pPr>
      <m:oMath>
        <m:sSub>
          <m:sSubPr>
            <m:ctrlPr>
              <w:rPr>
                <w:rFonts w:ascii="Cambria Math" w:hAnsi="Cambria Math" w:cs="Times New Roman"/>
                <w:i/>
              </w:rPr>
            </m:ctrlPr>
          </m:sSubPr>
          <m:e>
            <m:r>
              <m:rPr/>
              <w:rPr>
                <w:rFonts w:hint="eastAsia" w:ascii="Cambria Math" w:hAnsi="Cambria Math" w:cs="Times New Roman"/>
              </w:rPr>
              <m:t>A</m:t>
            </m:r>
            <m:ctrlPr>
              <w:rPr>
                <w:rFonts w:ascii="Cambria Math" w:hAnsi="Cambria Math" w:cs="Times New Roman"/>
                <w:i/>
              </w:rPr>
            </m:ctrlPr>
          </m:e>
          <m:sub>
            <m:r>
              <m:rPr>
                <m:sty m:val="p"/>
              </m:rPr>
              <w:rPr>
                <w:rFonts w:hint="eastAsia" w:ascii="Cambria Math" w:hAnsi="Cambria Math" w:cs="Times New Roman"/>
              </w:rPr>
              <m:t>l</m:t>
            </m:r>
            <m:ctrlPr>
              <w:rPr>
                <w:rFonts w:ascii="Cambria Math" w:hAnsi="Cambria Math" w:cs="Times New Roman"/>
                <w:i/>
              </w:rPr>
            </m:ctrlPr>
          </m:sub>
        </m:sSub>
      </m:oMath>
      <w:r>
        <w:rPr>
          <w:rFonts w:cs="Times New Roman"/>
        </w:rPr>
        <w:t>——</w:t>
      </w:r>
      <w:r>
        <w:rPr>
          <w:rFonts w:hint="eastAsia" w:cs="Times New Roman"/>
        </w:rPr>
        <w:t>混凝土局部受压面积</w:t>
      </w:r>
      <w:r>
        <w:t>；</w:t>
      </w:r>
    </w:p>
    <w:p>
      <w:pPr>
        <w:snapToGrid w:val="0"/>
        <w:rPr>
          <w:rFonts w:hint="eastAsia" w:hAnsi="Cambria Math" w:cs="宋体"/>
        </w:rPr>
      </w:pPr>
      <m:oMath>
        <m:sSub>
          <m:sSubPr>
            <m:ctrlPr>
              <w:rPr>
                <w:rFonts w:hint="eastAsia" w:ascii="Cambria Math" w:hAnsi="Cambria Math" w:cs="宋体"/>
                <w:i/>
              </w:rPr>
            </m:ctrlPr>
          </m:sSubPr>
          <m:e>
            <m:r>
              <m:rPr/>
              <w:rPr>
                <w:rFonts w:ascii="Cambria Math" w:hAnsi="Cambria Math" w:cs="宋体"/>
              </w:rPr>
              <m:t>A</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oMath>
      <w:r>
        <w:rPr>
          <w:rFonts w:cs="Times New Roman"/>
        </w:rPr>
        <w:t>——</w:t>
      </w:r>
      <w:r>
        <w:rPr>
          <w:rFonts w:hint="eastAsia" w:hAnsi="Cambria Math" w:cs="宋体"/>
        </w:rPr>
        <w:t>连接件在荷载作用方向净截面面积；</w:t>
      </w:r>
    </w:p>
    <w:p>
      <w:pPr>
        <w:snapToGrid w:val="0"/>
      </w:pPr>
      <w:r>
        <w:rPr>
          <w:rFonts w:hint="eastAsia"/>
        </w:rPr>
        <w:t>a</w:t>
      </w:r>
      <w:r>
        <w:t>——</w:t>
      </w:r>
      <w:r>
        <w:rPr>
          <w:rFonts w:hint="eastAsia"/>
        </w:rPr>
        <w:t>墙体荷载作用点至连接件根部距离；</w:t>
      </w:r>
    </w:p>
    <w:p>
      <w:pPr>
        <w:snapToGrid w:val="0"/>
      </w:pPr>
      <w:r>
        <w:rPr>
          <w:rFonts w:hint="eastAsia"/>
        </w:rPr>
        <w:t>b</w:t>
      </w:r>
      <w:r>
        <w:t>——</w:t>
      </w:r>
      <w:r>
        <w:rPr>
          <w:rFonts w:hint="eastAsia"/>
        </w:rPr>
        <w:t>墙体宽度；</w:t>
      </w:r>
    </w:p>
    <w:p>
      <w:pPr>
        <w:snapToGrid w:val="0"/>
      </w:pPr>
      <w:r>
        <w:rPr>
          <w:rFonts w:cs="Times New Roman"/>
          <w:i/>
        </w:rPr>
        <w:t>d</w:t>
      </w:r>
      <w:r>
        <w:rPr>
          <w:rFonts w:cs="Times New Roman"/>
        </w:rPr>
        <w:t>——自攻螺钉或射钉直径</w:t>
      </w:r>
      <w:r>
        <w:rPr>
          <w:rFonts w:hint="eastAsia" w:cs="Times New Roman"/>
        </w:rPr>
        <w:t>；</w:t>
      </w:r>
    </w:p>
    <w:p>
      <w:pPr>
        <w:snapToGrid w:val="0"/>
      </w:pPr>
      <w:r>
        <w:rPr>
          <w:i/>
          <w:iCs/>
        </w:rPr>
        <w:t>H</w:t>
      </w:r>
      <w:r>
        <w:t>——结构层高；</w:t>
      </w:r>
    </w:p>
    <w:p>
      <w:pPr>
        <w:snapToGrid w:val="0"/>
        <w:rPr>
          <w:rFonts w:hint="eastAsia" w:hAnsi="Cambria Math" w:cs="宋体"/>
        </w:rPr>
      </w:pPr>
      <w:r>
        <w:t>m——建筑围护结构综合面密度</w:t>
      </w:r>
      <w:r>
        <w:rPr>
          <w:rFonts w:hint="eastAsia" w:hAnsi="Cambria Math" w:cs="宋体"/>
        </w:rPr>
        <w:t>；</w:t>
      </w:r>
    </w:p>
    <w:p>
      <w:pPr>
        <w:snapToGrid w:val="0"/>
        <w:rPr>
          <w:rFonts w:hint="eastAsia" w:hAnsi="Cambria Math" w:cs="宋体"/>
        </w:rPr>
      </w:pPr>
      <w:r>
        <w:rPr>
          <w:rFonts w:cs="Times New Roman"/>
          <w:i/>
          <w:iCs/>
        </w:rPr>
        <w:t>t</w:t>
      </w:r>
      <w:r>
        <w:rPr>
          <w:rFonts w:cs="Times New Roman"/>
        </w:rPr>
        <w:t>——连接件的厚度；</w:t>
      </w:r>
    </w:p>
    <w:p>
      <w:pPr>
        <w:snapToGrid w:val="0"/>
      </w:pPr>
      <m:oMath>
        <m:sSub>
          <m:sSubPr>
            <m:ctrlPr>
              <w:rPr>
                <w:rFonts w:hint="eastAsia" w:ascii="Cambria Math" w:hAnsi="Cambria Math" w:cs="宋体"/>
                <w:i/>
              </w:rPr>
            </m:ctrlPr>
          </m:sSubPr>
          <m:e>
            <m:r>
              <m:rPr/>
              <w:rPr>
                <w:rFonts w:ascii="Cambria Math" w:hAnsi="Cambria Math" w:cs="宋体"/>
              </w:rPr>
              <m:t>W</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oMath>
      <w:r>
        <w:rPr>
          <w:rFonts w:hint="eastAsia" w:hAnsi="Cambria Math" w:cs="宋体"/>
        </w:rPr>
        <w:t>——连接件在荷载作用方向净截面模量。</w:t>
      </w:r>
      <w:r>
        <w:rPr>
          <w:rFonts w:hint="eastAsia"/>
        </w:rPr>
        <w:t xml:space="preserve">      </w:t>
      </w:r>
    </w:p>
    <w:p>
      <w:pPr>
        <w:pStyle w:val="3"/>
        <w:snapToGrid w:val="0"/>
        <w:spacing w:before="0" w:after="0" w:line="360" w:lineRule="auto"/>
        <w:rPr>
          <w:rFonts w:ascii="Times New Roman" w:hAnsi="Times New Roman" w:cs="Times New Roman"/>
        </w:rPr>
      </w:pPr>
      <w:bookmarkStart w:id="32" w:name="_Toc18412"/>
      <w:bookmarkStart w:id="33" w:name="_Toc32748"/>
      <w:bookmarkStart w:id="34" w:name="_Toc20998"/>
      <w:r>
        <w:rPr>
          <w:rFonts w:ascii="Times New Roman" w:hAnsi="Times New Roman" w:cs="Times New Roman"/>
        </w:rPr>
        <w:t>3  材  料</w:t>
      </w:r>
      <w:bookmarkEnd w:id="32"/>
      <w:bookmarkEnd w:id="33"/>
      <w:bookmarkEnd w:id="34"/>
      <w:bookmarkStart w:id="35" w:name="_Toc26346"/>
      <w:bookmarkStart w:id="36" w:name="_Toc21290"/>
    </w:p>
    <w:p/>
    <w:p>
      <w:pPr>
        <w:pStyle w:val="4"/>
        <w:snapToGrid w:val="0"/>
        <w:spacing w:before="0" w:after="0" w:line="360" w:lineRule="auto"/>
        <w:rPr>
          <w:rFonts w:ascii="Times New Roman" w:hAnsi="Times New Roman" w:cs="Times New Roman"/>
        </w:rPr>
      </w:pPr>
      <w:bookmarkStart w:id="37" w:name="_Toc19944"/>
      <w:r>
        <w:rPr>
          <w:rFonts w:ascii="Times New Roman" w:hAnsi="Times New Roman" w:cs="Times New Roman"/>
        </w:rPr>
        <w:t>3.1  一般规定</w:t>
      </w:r>
      <w:bookmarkEnd w:id="37"/>
    </w:p>
    <w:p>
      <w:pPr>
        <w:snapToGrid w:val="0"/>
        <w:rPr>
          <w:rFonts w:cs="Times New Roman"/>
        </w:rPr>
      </w:pPr>
      <w:r>
        <w:rPr>
          <w:rStyle w:val="22"/>
          <w:rFonts w:ascii="Times New Roman" w:hAnsi="Times New Roman" w:cs="Times New Roman"/>
        </w:rPr>
        <w:t>3.1.1</w:t>
      </w:r>
      <w:r>
        <w:rPr>
          <w:rFonts w:cs="Times New Roman"/>
        </w:rPr>
        <w:t> 装配式复合轻质墙体的原材料及安装用的配套材料应符合现行国家有关标准的规定，并应优先采用节能、利废、环保的原材料。</w:t>
      </w:r>
    </w:p>
    <w:p>
      <w:pPr>
        <w:snapToGrid w:val="0"/>
        <w:rPr>
          <w:rFonts w:cs="Times New Roman"/>
        </w:rPr>
      </w:pPr>
      <w:r>
        <w:rPr>
          <w:rStyle w:val="22"/>
          <w:rFonts w:ascii="Times New Roman" w:hAnsi="Times New Roman" w:cs="Times New Roman"/>
        </w:rPr>
        <w:t>3.1.2</w:t>
      </w:r>
      <w:r>
        <w:rPr>
          <w:rFonts w:cs="Times New Roman"/>
        </w:rPr>
        <w:t> 装配式复合轻质墙体所采用的材料及配套材料的</w:t>
      </w:r>
      <w:r>
        <w:rPr>
          <w:rFonts w:hint="eastAsia"/>
        </w:rPr>
        <w:t>放射性限量不得超过</w:t>
      </w:r>
      <w:r>
        <w:rPr>
          <w:rFonts w:cs="Times New Roman"/>
        </w:rPr>
        <w:t>现行国家标准</w:t>
      </w:r>
      <w:r>
        <w:rPr>
          <w:rFonts w:hint="eastAsia"/>
        </w:rPr>
        <w:t>《建筑环境通用规范》GB55016和</w:t>
      </w:r>
      <w:r>
        <w:rPr>
          <w:rFonts w:cs="Times New Roman"/>
        </w:rPr>
        <w:t>《建筑材料放射性核素限量》GB 6566的</w:t>
      </w:r>
      <w:r>
        <w:rPr>
          <w:rFonts w:hint="eastAsia" w:cs="Times New Roman"/>
        </w:rPr>
        <w:t>规定</w:t>
      </w:r>
      <w:r>
        <w:rPr>
          <w:rFonts w:cs="Times New Roman"/>
        </w:rPr>
        <w:t>。</w:t>
      </w:r>
    </w:p>
    <w:p>
      <w:pPr>
        <w:snapToGrid w:val="0"/>
        <w:rPr>
          <w:rFonts w:cs="Times New Roman"/>
        </w:rPr>
      </w:pPr>
    </w:p>
    <w:p>
      <w:pPr>
        <w:pStyle w:val="4"/>
        <w:snapToGrid w:val="0"/>
        <w:spacing w:before="0" w:after="0" w:line="360" w:lineRule="auto"/>
        <w:rPr>
          <w:rFonts w:ascii="Times New Roman" w:hAnsi="Times New Roman" w:cs="Times New Roman"/>
        </w:rPr>
      </w:pPr>
      <w:bookmarkStart w:id="38" w:name="_Toc6031"/>
      <w:r>
        <w:rPr>
          <w:rFonts w:ascii="Times New Roman" w:hAnsi="Times New Roman" w:cs="Times New Roman"/>
        </w:rPr>
        <w:t>3.2  </w:t>
      </w:r>
      <w:bookmarkEnd w:id="7"/>
      <w:bookmarkEnd w:id="35"/>
      <w:bookmarkEnd w:id="36"/>
      <w:r>
        <w:rPr>
          <w:rFonts w:ascii="Times New Roman" w:hAnsi="Times New Roman" w:cs="Times New Roman"/>
        </w:rPr>
        <w:t>墙面板</w:t>
      </w:r>
      <w:bookmarkEnd w:id="38"/>
    </w:p>
    <w:p>
      <w:pPr>
        <w:snapToGrid w:val="0"/>
      </w:pPr>
      <w:r>
        <w:rPr>
          <w:rStyle w:val="22"/>
          <w:rFonts w:ascii="Times New Roman" w:hAnsi="Times New Roman" w:cs="Times New Roman"/>
        </w:rPr>
        <w:t>3.2.1</w:t>
      </w:r>
      <w:r>
        <w:rPr>
          <w:rFonts w:cs="Times New Roman"/>
        </w:rPr>
        <w:t> 装配式复合轻质墙体的</w:t>
      </w:r>
      <w:r>
        <w:rPr>
          <w:rFonts w:hint="eastAsia"/>
        </w:rPr>
        <w:t>墙面板、洞口板和过梁板等预制构件应采用细石混凝土，其性能应符合现行国家标准《混凝土结构设计规范》GB 50010的规定。</w:t>
      </w:r>
    </w:p>
    <w:p>
      <w:pPr>
        <w:snapToGrid w:val="0"/>
        <w:rPr>
          <w:rFonts w:cs="Times New Roman"/>
        </w:rPr>
      </w:pPr>
      <w:r>
        <w:rPr>
          <w:rStyle w:val="22"/>
          <w:rFonts w:ascii="Times New Roman" w:hAnsi="Times New Roman" w:cs="Times New Roman"/>
        </w:rPr>
        <w:t>3.2.2</w:t>
      </w:r>
      <w:r>
        <w:rPr>
          <w:rFonts w:cs="Times New Roman"/>
        </w:rPr>
        <w:t>  </w:t>
      </w:r>
      <w:r>
        <w:rPr>
          <w:rFonts w:hint="eastAsia"/>
        </w:rPr>
        <w:t>墙面板</w:t>
      </w:r>
      <w:r>
        <w:rPr>
          <w:rFonts w:cs="Times New Roman"/>
        </w:rPr>
        <w:t>厚度不应小于25mm。</w:t>
      </w:r>
      <w:r>
        <w:rPr>
          <w:rFonts w:hint="eastAsia"/>
        </w:rPr>
        <w:t>墙面板、洞口板和过梁板的</w:t>
      </w:r>
      <w:r>
        <w:rPr>
          <w:rFonts w:cs="Times New Roman"/>
        </w:rPr>
        <w:t>混凝土强度等级不宜</w:t>
      </w:r>
      <w:r>
        <w:rPr>
          <w:rFonts w:hint="eastAsia" w:cs="Times New Roman"/>
        </w:rPr>
        <w:t>低</w:t>
      </w:r>
      <w:r>
        <w:rPr>
          <w:rFonts w:cs="Times New Roman"/>
        </w:rPr>
        <w:t>于C30，不应</w:t>
      </w:r>
      <w:r>
        <w:rPr>
          <w:rFonts w:hint="eastAsia" w:cs="Times New Roman"/>
        </w:rPr>
        <w:t>低</w:t>
      </w:r>
      <w:r>
        <w:rPr>
          <w:rFonts w:cs="Times New Roman"/>
        </w:rPr>
        <w:t>于C2</w:t>
      </w:r>
      <w:r>
        <w:rPr>
          <w:rFonts w:hint="eastAsia" w:cs="Times New Roman"/>
        </w:rPr>
        <w:t>5；钢丝</w:t>
      </w:r>
      <w:r>
        <w:rPr>
          <w:rFonts w:cs="Times New Roman"/>
        </w:rPr>
        <w:t>宜采用HRB400</w:t>
      </w:r>
      <w:r>
        <w:rPr>
          <w:rFonts w:hint="eastAsia" w:cs="Times New Roman"/>
        </w:rPr>
        <w:t>，</w:t>
      </w:r>
      <w:r>
        <w:rPr>
          <w:rFonts w:cs="Times New Roman"/>
        </w:rPr>
        <w:t>直径宜为3~4mm。</w:t>
      </w:r>
    </w:p>
    <w:p>
      <w:pPr>
        <w:snapToGrid w:val="0"/>
      </w:pPr>
      <w:r>
        <w:rPr>
          <w:rStyle w:val="22"/>
          <w:rFonts w:ascii="Times New Roman" w:hAnsi="Times New Roman" w:cs="Times New Roman"/>
        </w:rPr>
        <w:t>3.2.3</w:t>
      </w:r>
      <w:r>
        <w:rPr>
          <w:rStyle w:val="22"/>
        </w:rPr>
        <w:t xml:space="preserve">  </w:t>
      </w:r>
      <w:r>
        <w:t>细石混凝土粗骨料的最大粒径不</w:t>
      </w:r>
      <w:r>
        <w:rPr>
          <w:rFonts w:hint="eastAsia"/>
        </w:rPr>
        <w:t>宜</w:t>
      </w:r>
      <w:r>
        <w:t>大于</w:t>
      </w:r>
      <w:r>
        <w:rPr>
          <w:rFonts w:hint="eastAsia"/>
        </w:rPr>
        <w:t>10</w:t>
      </w:r>
      <w:r>
        <w:t>mm。粒径不大于0.125mm的细骨料</w:t>
      </w:r>
      <w:r>
        <w:rPr>
          <w:rFonts w:hint="eastAsia"/>
        </w:rPr>
        <w:t>宜</w:t>
      </w:r>
      <w:r>
        <w:t>占骨料总量的</w:t>
      </w:r>
      <w:r>
        <w:rPr>
          <w:rFonts w:cs="Times New Roman"/>
        </w:rPr>
        <w:t>4％～9％</w:t>
      </w:r>
      <w:r>
        <w:rPr>
          <w:rFonts w:hint="eastAsia"/>
        </w:rPr>
        <w:t>。 </w:t>
      </w:r>
    </w:p>
    <w:p>
      <w:pPr>
        <w:snapToGrid w:val="0"/>
        <w:rPr>
          <w:rFonts w:cs="Times New Roman"/>
        </w:rPr>
      </w:pPr>
      <w:r>
        <w:rPr>
          <w:rStyle w:val="22"/>
          <w:rFonts w:ascii="Times New Roman" w:hAnsi="Times New Roman" w:cs="Times New Roman"/>
        </w:rPr>
        <w:t xml:space="preserve">3.2.4  </w:t>
      </w:r>
      <w:r>
        <w:rPr>
          <w:rFonts w:cs="Times New Roman"/>
        </w:rPr>
        <w:t>墙面板也可以使用高延性混凝土、超高性能混凝土</w:t>
      </w:r>
      <w:r>
        <w:rPr>
          <w:rFonts w:hint="eastAsia" w:cs="Times New Roman"/>
        </w:rPr>
        <w:t>等</w:t>
      </w:r>
      <w:r>
        <w:rPr>
          <w:rFonts w:cs="Times New Roman"/>
        </w:rPr>
        <w:t>混凝土，使用前应经工程实践验证并满足设计及工程要求。</w:t>
      </w:r>
    </w:p>
    <w:p>
      <w:pPr>
        <w:snapToGrid w:val="0"/>
        <w:rPr>
          <w:rFonts w:cs="Times New Roman"/>
        </w:rPr>
      </w:pPr>
    </w:p>
    <w:bookmarkEnd w:id="8"/>
    <w:p>
      <w:pPr>
        <w:pStyle w:val="4"/>
        <w:snapToGrid w:val="0"/>
        <w:spacing w:before="0" w:after="0" w:line="360" w:lineRule="auto"/>
        <w:rPr>
          <w:rFonts w:ascii="Times New Roman" w:hAnsi="Times New Roman" w:cs="Times New Roman"/>
        </w:rPr>
      </w:pPr>
      <w:bookmarkStart w:id="39" w:name="_Toc28968"/>
      <w:bookmarkStart w:id="40" w:name="_Toc327"/>
      <w:bookmarkStart w:id="41" w:name="_Toc29731"/>
      <w:r>
        <w:rPr>
          <w:rFonts w:ascii="Times New Roman" w:hAnsi="Times New Roman" w:cs="Times New Roman"/>
        </w:rPr>
        <w:t>3.3  </w:t>
      </w:r>
      <w:bookmarkEnd w:id="39"/>
      <w:bookmarkEnd w:id="40"/>
      <w:r>
        <w:rPr>
          <w:rFonts w:hint="eastAsia" w:ascii="Times New Roman" w:hAnsi="Times New Roman" w:cs="Times New Roman"/>
        </w:rPr>
        <w:t>注仓</w:t>
      </w:r>
      <w:r>
        <w:rPr>
          <w:rFonts w:ascii="Times New Roman" w:hAnsi="Times New Roman" w:cs="Times New Roman"/>
        </w:rPr>
        <w:t>料</w:t>
      </w:r>
      <w:bookmarkEnd w:id="41"/>
    </w:p>
    <w:p>
      <w:pPr>
        <w:snapToGrid w:val="0"/>
        <w:rPr>
          <w:rFonts w:cs="Times New Roman"/>
        </w:rPr>
      </w:pPr>
      <w:r>
        <w:rPr>
          <w:rStyle w:val="22"/>
          <w:rFonts w:ascii="Times New Roman" w:hAnsi="Times New Roman" w:cs="Times New Roman"/>
        </w:rPr>
        <w:t>3.3.1</w:t>
      </w:r>
      <w:r>
        <w:rPr>
          <w:rFonts w:cs="Times New Roman"/>
        </w:rPr>
        <w:t>  </w:t>
      </w:r>
      <w:r>
        <w:rPr>
          <w:rFonts w:hint="eastAsia" w:cs="Times New Roman"/>
        </w:rPr>
        <w:t>注仓料宜采用泡沫混凝土、聚苯颗粒混凝土、石膏基轻混凝土等轻混凝土。有可靠依据时，也可采用镁基及其它材料组成的轻混凝土，并应符合下列规定：</w:t>
      </w:r>
    </w:p>
    <w:p>
      <w:pPr>
        <w:snapToGrid w:val="0"/>
        <w:ind w:firstLine="482" w:firstLineChars="200"/>
        <w:rPr>
          <w:rFonts w:cs="Times New Roman"/>
        </w:rPr>
      </w:pPr>
      <w:r>
        <w:rPr>
          <w:rFonts w:cs="Times New Roman"/>
          <w:b/>
          <w:bCs/>
        </w:rPr>
        <w:t>1</w:t>
      </w:r>
      <w:r>
        <w:rPr>
          <w:rFonts w:cs="Times New Roman"/>
        </w:rPr>
        <w:t> </w:t>
      </w:r>
      <w:r>
        <w:rPr>
          <w:rFonts w:hint="eastAsia" w:cs="Times New Roman"/>
        </w:rPr>
        <w:t>石膏基轻混凝土应符合现行行业标准《泡沫混凝土》</w:t>
      </w:r>
      <w:r>
        <w:rPr>
          <w:rFonts w:cs="Times New Roman"/>
        </w:rPr>
        <w:t>JG/T 266</w:t>
      </w:r>
      <w:r>
        <w:rPr>
          <w:rFonts w:hint="eastAsia" w:cs="Times New Roman"/>
        </w:rPr>
        <w:t>的有关规定，所用石膏应符合现行行业标准《机械喷涂抹灰石膏》</w:t>
      </w:r>
      <w:r>
        <w:rPr>
          <w:rFonts w:cs="Times New Roman"/>
        </w:rPr>
        <w:t>JC/T 2474</w:t>
      </w:r>
      <w:r>
        <w:rPr>
          <w:rFonts w:hint="eastAsia" w:cs="Times New Roman"/>
        </w:rPr>
        <w:t>的有关规定。</w:t>
      </w:r>
    </w:p>
    <w:p>
      <w:pPr>
        <w:snapToGrid w:val="0"/>
        <w:rPr>
          <w:rFonts w:cs="Times New Roman"/>
        </w:rPr>
      </w:pPr>
      <w:r>
        <w:rPr>
          <w:rFonts w:cs="Times New Roman"/>
        </w:rPr>
        <w:t>    </w:t>
      </w:r>
      <w:r>
        <w:rPr>
          <w:rFonts w:cs="Times New Roman"/>
          <w:b/>
          <w:bCs/>
        </w:rPr>
        <w:t>2</w:t>
      </w:r>
      <w:r>
        <w:rPr>
          <w:rFonts w:cs="Times New Roman"/>
        </w:rPr>
        <w:t> </w:t>
      </w:r>
      <w:r>
        <w:rPr>
          <w:rFonts w:hint="eastAsia" w:cs="Times New Roman"/>
        </w:rPr>
        <w:t>泡沫混凝土应符合现行行业标准《泡沫混凝土》</w:t>
      </w:r>
      <w:r>
        <w:rPr>
          <w:rFonts w:cs="Times New Roman"/>
        </w:rPr>
        <w:t>JG/T 266</w:t>
      </w:r>
      <w:r>
        <w:rPr>
          <w:rFonts w:hint="eastAsia" w:cs="Times New Roman"/>
        </w:rPr>
        <w:t>的有关规定。</w:t>
      </w:r>
      <w:r>
        <w:rPr>
          <w:rFonts w:cs="Times New Roman"/>
        </w:rPr>
        <w:t> </w:t>
      </w:r>
    </w:p>
    <w:p>
      <w:pPr>
        <w:snapToGrid w:val="0"/>
        <w:ind w:firstLine="482" w:firstLineChars="200"/>
        <w:rPr>
          <w:rFonts w:cs="Times New Roman"/>
        </w:rPr>
      </w:pPr>
      <w:r>
        <w:rPr>
          <w:rFonts w:cs="Times New Roman"/>
          <w:b/>
          <w:bCs/>
        </w:rPr>
        <w:t>3</w:t>
      </w:r>
      <w:r>
        <w:rPr>
          <w:rFonts w:cs="Times New Roman"/>
        </w:rPr>
        <w:t> </w:t>
      </w:r>
      <w:r>
        <w:rPr>
          <w:rFonts w:hint="eastAsia" w:cs="Times New Roman"/>
        </w:rPr>
        <w:t>聚苯颗粒混凝土应符合现行行业标准《聚苯乙烯颗粒泡沫混凝土》</w:t>
      </w:r>
      <w:r>
        <w:rPr>
          <w:rFonts w:cs="Times New Roman"/>
        </w:rPr>
        <w:t>JC/T 2458</w:t>
      </w:r>
      <w:r>
        <w:rPr>
          <w:rFonts w:hint="eastAsia" w:cs="Times New Roman"/>
        </w:rPr>
        <w:t>的有关规定。</w:t>
      </w:r>
      <w:r>
        <w:rPr>
          <w:rFonts w:cs="Times New Roman"/>
        </w:rPr>
        <w:t> </w:t>
      </w:r>
    </w:p>
    <w:p>
      <w:pPr>
        <w:snapToGrid w:val="0"/>
        <w:ind w:firstLine="482" w:firstLineChars="200"/>
        <w:rPr>
          <w:rFonts w:cs="Times New Roman"/>
          <w:color w:val="0070C0"/>
        </w:rPr>
      </w:pPr>
      <w:r>
        <w:rPr>
          <w:rFonts w:hint="eastAsia" w:cs="Times New Roman"/>
          <w:b/>
          <w:bCs/>
        </w:rPr>
        <w:t>4</w:t>
      </w:r>
      <w:r>
        <w:rPr>
          <w:rFonts w:hint="eastAsia" w:cs="Times New Roman"/>
        </w:rPr>
        <w:t xml:space="preserve"> 镁基轻混凝土应符合现行团体标准《镁质凝胶材料制品 硫氧镁平板》T</w:t>
      </w:r>
      <w:r>
        <w:rPr>
          <w:rFonts w:cs="Times New Roman"/>
        </w:rPr>
        <w:t>/</w:t>
      </w:r>
      <w:r>
        <w:rPr>
          <w:rFonts w:hint="eastAsia" w:cs="Times New Roman"/>
        </w:rPr>
        <w:t>CMMA 8-</w:t>
      </w:r>
      <w:r>
        <w:rPr>
          <w:rFonts w:cs="Times New Roman"/>
        </w:rPr>
        <w:t>2</w:t>
      </w:r>
      <w:r>
        <w:rPr>
          <w:rFonts w:hint="eastAsia" w:cs="Times New Roman"/>
        </w:rPr>
        <w:t>020的有关规定。</w:t>
      </w:r>
    </w:p>
    <w:p>
      <w:pPr>
        <w:snapToGrid w:val="0"/>
        <w:rPr>
          <w:rFonts w:cs="Times New Roman"/>
        </w:rPr>
      </w:pPr>
      <w:r>
        <w:rPr>
          <w:rStyle w:val="22"/>
          <w:rFonts w:ascii="Times New Roman" w:hAnsi="Times New Roman" w:cs="Times New Roman"/>
        </w:rPr>
        <w:t>3.3.2</w:t>
      </w:r>
      <w:r>
        <w:rPr>
          <w:rFonts w:cs="Times New Roman"/>
        </w:rPr>
        <w:t>  </w:t>
      </w:r>
      <w:r>
        <w:rPr>
          <w:rFonts w:hint="eastAsia"/>
        </w:rPr>
        <w:t>注仓料的表观密度不宜低于</w:t>
      </w:r>
      <w:r>
        <w:rPr>
          <w:rFonts w:cs="Times New Roman"/>
        </w:rPr>
        <w:t>400kg/m³</w:t>
      </w:r>
      <w:r>
        <w:rPr>
          <w:rFonts w:hint="eastAsia"/>
        </w:rPr>
        <w:t>，不应大于</w:t>
      </w:r>
      <w:r>
        <w:rPr>
          <w:rFonts w:cs="Times New Roman"/>
        </w:rPr>
        <w:t>1</w:t>
      </w:r>
      <w:r>
        <w:rPr>
          <w:rFonts w:hint="eastAsia" w:cs="Times New Roman"/>
        </w:rPr>
        <w:t>2</w:t>
      </w:r>
      <w:r>
        <w:rPr>
          <w:rFonts w:cs="Times New Roman"/>
        </w:rPr>
        <w:t>00kg/m³</w:t>
      </w:r>
      <w:r>
        <w:rPr>
          <w:rFonts w:hint="eastAsia"/>
        </w:rPr>
        <w:t>。按标准方法制作﹑养护的边长为100mm立方体试件的抗压强度平均值不宜低于</w:t>
      </w:r>
      <w:r>
        <w:rPr>
          <w:rFonts w:hint="eastAsia" w:cs="Times New Roman"/>
        </w:rPr>
        <w:t>3.0N/mm</w:t>
      </w:r>
      <w:r>
        <w:rPr>
          <w:rFonts w:cs="Times New Roman"/>
        </w:rPr>
        <w:t>²</w:t>
      </w:r>
      <w:r>
        <w:rPr>
          <w:rFonts w:hint="eastAsia" w:cs="Times New Roman"/>
        </w:rPr>
        <w:t>，单块抗压强度最小值不宜低于2.55N/mm</w:t>
      </w:r>
      <w:r>
        <w:rPr>
          <w:rFonts w:cs="Times New Roman"/>
        </w:rPr>
        <w:t>²</w:t>
      </w:r>
      <w:r>
        <w:rPr>
          <w:rFonts w:hint="eastAsia"/>
        </w:rPr>
        <w:t>。（赵老师：按照对应标准的要求，不强制要求试块尺寸）</w:t>
      </w:r>
    </w:p>
    <w:p>
      <w:pPr>
        <w:snapToGrid w:val="0"/>
        <w:rPr>
          <w:rFonts w:cs="Times New Roman"/>
        </w:rPr>
      </w:pPr>
      <w:r>
        <w:rPr>
          <w:rStyle w:val="22"/>
          <w:rFonts w:ascii="Times New Roman" w:hAnsi="Times New Roman" w:cs="Times New Roman"/>
        </w:rPr>
        <w:t>3.3.3</w:t>
      </w:r>
      <w:r>
        <w:rPr>
          <w:rFonts w:cs="Times New Roman"/>
        </w:rPr>
        <w:t>  </w:t>
      </w:r>
      <w:r>
        <w:rPr>
          <w:rFonts w:hint="eastAsia" w:cs="Times New Roman"/>
        </w:rPr>
        <w:t>用于装配式复合轻质墙体的石膏基轻混凝土的性能应满足表</w:t>
      </w:r>
      <w:r>
        <w:rPr>
          <w:rFonts w:cs="Times New Roman"/>
        </w:rPr>
        <w:t>3.3.3</w:t>
      </w:r>
      <w:r>
        <w:rPr>
          <w:rFonts w:hint="eastAsia" w:cs="Times New Roman"/>
        </w:rPr>
        <w:t>的要求。</w:t>
      </w:r>
    </w:p>
    <w:p>
      <w:pPr>
        <w:snapToGrid w:val="0"/>
        <w:jc w:val="center"/>
        <w:rPr>
          <w:rFonts w:cs="Times New Roman"/>
        </w:rPr>
      </w:pPr>
      <w:r>
        <w:rPr>
          <w:rFonts w:cs="Times New Roman"/>
          <w:b/>
          <w:bCs/>
          <w:sz w:val="20"/>
        </w:rPr>
        <w:t>表3.3.</w:t>
      </w:r>
      <w:r>
        <w:rPr>
          <w:rFonts w:hint="eastAsia" w:cs="Times New Roman"/>
          <w:b/>
          <w:bCs/>
          <w:sz w:val="20"/>
        </w:rPr>
        <w:t>3</w:t>
      </w:r>
      <w:r>
        <w:rPr>
          <w:rFonts w:cs="Times New Roman"/>
          <w:b/>
          <w:bCs/>
          <w:sz w:val="20"/>
        </w:rPr>
        <w:t xml:space="preserve"> 石膏基轻混凝土基本性能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项目</w:t>
            </w:r>
          </w:p>
        </w:tc>
        <w:tc>
          <w:tcPr>
            <w:tcW w:w="2268" w:type="dxa"/>
            <w:vAlign w:val="center"/>
          </w:tcPr>
          <w:p>
            <w:pPr>
              <w:snapToGrid w:val="0"/>
              <w:jc w:val="center"/>
              <w:rPr>
                <w:rFonts w:cs="Times New Roman"/>
                <w:sz w:val="21"/>
                <w:szCs w:val="21"/>
              </w:rPr>
            </w:pPr>
            <w:r>
              <w:rPr>
                <w:rFonts w:cs="Times New Roman"/>
                <w:sz w:val="21"/>
                <w:szCs w:val="21"/>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表观密度（kg/m³）</w:t>
            </w:r>
          </w:p>
        </w:tc>
        <w:tc>
          <w:tcPr>
            <w:tcW w:w="2268" w:type="dxa"/>
            <w:vAlign w:val="center"/>
          </w:tcPr>
          <w:p>
            <w:pPr>
              <w:snapToGrid w:val="0"/>
              <w:jc w:val="center"/>
              <w:rPr>
                <w:rFonts w:cs="Times New Roman"/>
                <w:sz w:val="21"/>
                <w:szCs w:val="21"/>
              </w:rPr>
            </w:pPr>
            <w:r>
              <w:rPr>
                <w:rFonts w:cs="Times New Roman"/>
                <w:sz w:val="21"/>
                <w:szCs w:val="21"/>
              </w:rPr>
              <w:t>400~800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立方体抗压强度（MPa）</w:t>
            </w:r>
          </w:p>
        </w:tc>
        <w:tc>
          <w:tcPr>
            <w:tcW w:w="2268" w:type="dxa"/>
            <w:vAlign w:val="center"/>
          </w:tcPr>
          <w:p>
            <w:pPr>
              <w:snapToGrid w:val="0"/>
              <w:jc w:val="center"/>
              <w:rPr>
                <w:rFonts w:cs="Times New Roman"/>
                <w:sz w:val="21"/>
                <w:szCs w:val="21"/>
              </w:rPr>
            </w:pPr>
            <w:r>
              <w:rPr>
                <w:rFonts w:hint="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导热系数[W/(m·k)]</w:t>
            </w:r>
          </w:p>
        </w:tc>
        <w:tc>
          <w:tcPr>
            <w:tcW w:w="2268" w:type="dxa"/>
            <w:vAlign w:val="center"/>
          </w:tcPr>
          <w:p>
            <w:pPr>
              <w:snapToGrid w:val="0"/>
              <w:jc w:val="center"/>
              <w:rPr>
                <w:rFonts w:cs="Times New Roman"/>
                <w:sz w:val="21"/>
                <w:szCs w:val="21"/>
              </w:rPr>
            </w:pPr>
            <w:r>
              <w:rPr>
                <w:rFonts w:hint="eastAsia"/>
                <w:sz w:val="21"/>
                <w:szCs w:val="21"/>
              </w:rPr>
              <w:t>0.16~0.20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燃烧性能分级</w:t>
            </w:r>
          </w:p>
        </w:tc>
        <w:tc>
          <w:tcPr>
            <w:tcW w:w="2268" w:type="dxa"/>
            <w:vAlign w:val="center"/>
          </w:tcPr>
          <w:p>
            <w:pPr>
              <w:snapToGrid w:val="0"/>
              <w:jc w:val="center"/>
              <w:rPr>
                <w:rFonts w:cs="Times New Roman"/>
                <w:sz w:val="21"/>
                <w:szCs w:val="21"/>
              </w:rPr>
            </w:pPr>
            <w:r>
              <w:rPr>
                <w:rFonts w:hint="eastAsia" w:ascii="宋体" w:hAnsi="宋体" w:cs="宋体"/>
                <w:sz w:val="21"/>
                <w:szCs w:val="21"/>
              </w:rPr>
              <w:t>≤</w:t>
            </w: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restart"/>
            <w:vAlign w:val="center"/>
          </w:tcPr>
          <w:p>
            <w:pPr>
              <w:snapToGrid w:val="0"/>
              <w:jc w:val="center"/>
              <w:rPr>
                <w:rFonts w:cs="Times New Roman"/>
                <w:sz w:val="21"/>
                <w:szCs w:val="21"/>
              </w:rPr>
            </w:pPr>
            <w:r>
              <w:rPr>
                <w:rFonts w:cs="Times New Roman"/>
                <w:sz w:val="21"/>
                <w:szCs w:val="21"/>
              </w:rPr>
              <w:t>放射性</w:t>
            </w:r>
          </w:p>
        </w:tc>
        <w:tc>
          <w:tcPr>
            <w:tcW w:w="2268" w:type="dxa"/>
            <w:vAlign w:val="center"/>
          </w:tcPr>
          <w:p>
            <w:pPr>
              <w:snapToGrid w:val="0"/>
              <w:jc w:val="center"/>
              <w:rPr>
                <w:rFonts w:cs="Times New Roman"/>
                <w:sz w:val="21"/>
                <w:szCs w:val="21"/>
              </w:rPr>
            </w:pPr>
            <w:r>
              <w:rPr>
                <w:rFonts w:hint="eastAsia"/>
                <w:sz w:val="21"/>
                <w:szCs w:val="21"/>
              </w:rPr>
              <w:t>A2级</w:t>
            </w:r>
          </w:p>
        </w:tc>
        <w:tc>
          <w:tcPr>
            <w:tcW w:w="226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continue"/>
            <w:vAlign w:val="center"/>
          </w:tcPr>
          <w:p>
            <w:pPr>
              <w:snapToGrid w:val="0"/>
              <w:jc w:val="center"/>
              <w:rPr>
                <w:rFonts w:cs="Times New Roman"/>
                <w:sz w:val="21"/>
                <w:szCs w:val="21"/>
              </w:rPr>
            </w:pPr>
          </w:p>
        </w:tc>
        <w:tc>
          <w:tcPr>
            <w:tcW w:w="2268" w:type="dxa"/>
            <w:vAlign w:val="center"/>
          </w:tcPr>
          <w:p>
            <w:pPr>
              <w:snapToGrid w:val="0"/>
              <w:jc w:val="center"/>
              <w:rPr>
                <w:rFonts w:cs="Times New Roman"/>
                <w:sz w:val="21"/>
                <w:szCs w:val="21"/>
              </w:rPr>
            </w:pPr>
            <w:r>
              <w:rPr>
                <w:rFonts w:hint="eastAsia" w:ascii="宋体" w:hAnsi="宋体" w:cs="宋体"/>
                <w:sz w:val="21"/>
                <w:szCs w:val="21"/>
              </w:rPr>
              <w:t>≤</w:t>
            </w:r>
            <w:r>
              <w:rPr>
                <w:rFonts w:hint="eastAsia"/>
                <w:sz w:val="21"/>
                <w:szCs w:val="21"/>
              </w:rPr>
              <w:t>1.0</w:t>
            </w:r>
          </w:p>
        </w:tc>
        <w:tc>
          <w:tcPr>
            <w:tcW w:w="226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匀质性[干表观密度差</w:t>
            </w:r>
            <w:r>
              <w:rPr>
                <w:rFonts w:hint="eastAsia" w:cs="Times New Roman"/>
                <w:sz w:val="21"/>
                <w:szCs w:val="21"/>
              </w:rPr>
              <w:t>(</w:t>
            </w:r>
            <w:r>
              <w:rPr>
                <w:rFonts w:cs="Times New Roman"/>
                <w:sz w:val="21"/>
                <w:szCs w:val="21"/>
              </w:rPr>
              <w:t>kg/m³</w:t>
            </w:r>
            <w:r>
              <w:rPr>
                <w:rFonts w:hint="eastAsia" w:cs="Times New Roman"/>
                <w:sz w:val="21"/>
                <w:szCs w:val="21"/>
              </w:rPr>
              <w:t>)</w:t>
            </w:r>
            <w:r>
              <w:rPr>
                <w:rFonts w:cs="Times New Roman"/>
                <w:sz w:val="21"/>
                <w:szCs w:val="21"/>
              </w:rPr>
              <w:t>]</w:t>
            </w:r>
          </w:p>
        </w:tc>
        <w:tc>
          <w:tcPr>
            <w:tcW w:w="2268" w:type="dxa"/>
            <w:vAlign w:val="center"/>
          </w:tcPr>
          <w:p>
            <w:pPr>
              <w:snapToGrid w:val="0"/>
              <w:jc w:val="center"/>
              <w:rPr>
                <w:rFonts w:cs="Times New Roman"/>
                <w:sz w:val="21"/>
                <w:szCs w:val="21"/>
              </w:rPr>
            </w:pPr>
            <w:r>
              <w:rPr>
                <w:rFonts w:hint="eastAsia" w:ascii="宋体" w:hAnsi="宋体" w:cs="宋体"/>
                <w:sz w:val="21"/>
                <w:szCs w:val="21"/>
              </w:rPr>
              <w:t>≤</w:t>
            </w:r>
            <w:r>
              <w:rPr>
                <w:rFonts w:hint="eastAsia"/>
                <w:sz w:val="21"/>
                <w:szCs w:val="21"/>
              </w:rPr>
              <w:t>1.0</w:t>
            </w:r>
          </w:p>
        </w:tc>
      </w:tr>
    </w:tbl>
    <w:p>
      <w:pPr>
        <w:snapToGrid w:val="0"/>
        <w:rPr>
          <w:rStyle w:val="22"/>
          <w:rFonts w:ascii="Times New Roman" w:hAnsi="Times New Roman" w:cs="Times New Roman"/>
        </w:rPr>
      </w:pPr>
      <w:bookmarkStart w:id="42" w:name="_Toc28745"/>
      <w:bookmarkStart w:id="43" w:name="_Toc10037"/>
      <w:bookmarkStart w:id="44" w:name="_Toc17316"/>
      <w:bookmarkStart w:id="45" w:name="_Toc7910"/>
    </w:p>
    <w:p>
      <w:pPr>
        <w:snapToGrid w:val="0"/>
        <w:rPr>
          <w:rFonts w:cs="Times New Roman"/>
        </w:rPr>
      </w:pPr>
      <w:r>
        <w:rPr>
          <w:rStyle w:val="22"/>
          <w:rFonts w:ascii="Times New Roman" w:hAnsi="Times New Roman" w:cs="Times New Roman"/>
        </w:rPr>
        <w:t>3.3.</w:t>
      </w:r>
      <w:r>
        <w:rPr>
          <w:rStyle w:val="22"/>
          <w:rFonts w:hint="eastAsia" w:ascii="Times New Roman" w:hAnsi="Times New Roman" w:cs="Times New Roman"/>
        </w:rPr>
        <w:t>4</w:t>
      </w:r>
      <w:r>
        <w:rPr>
          <w:rFonts w:cs="Times New Roman"/>
        </w:rPr>
        <w:t>  用于装配式复合轻质墙体的泡沫混凝土的性能应满足表3.3.</w:t>
      </w:r>
      <w:r>
        <w:rPr>
          <w:rFonts w:hint="eastAsia" w:cs="Times New Roman"/>
        </w:rPr>
        <w:t>4</w:t>
      </w:r>
      <w:r>
        <w:rPr>
          <w:rFonts w:cs="Times New Roman"/>
        </w:rPr>
        <w:t>的要求。</w:t>
      </w:r>
    </w:p>
    <w:p>
      <w:pPr>
        <w:snapToGrid w:val="0"/>
        <w:jc w:val="center"/>
        <w:rPr>
          <w:rFonts w:cs="Times New Roman"/>
        </w:rPr>
      </w:pPr>
      <w:r>
        <w:rPr>
          <w:rFonts w:cs="Times New Roman"/>
          <w:b/>
          <w:bCs/>
          <w:sz w:val="20"/>
        </w:rPr>
        <w:t>表3.3.</w:t>
      </w:r>
      <w:r>
        <w:rPr>
          <w:rFonts w:hint="eastAsia" w:cs="Times New Roman"/>
          <w:b/>
          <w:bCs/>
          <w:sz w:val="20"/>
        </w:rPr>
        <w:t>4</w:t>
      </w:r>
      <w:r>
        <w:rPr>
          <w:rFonts w:cs="Times New Roman"/>
          <w:b/>
          <w:bCs/>
          <w:sz w:val="20"/>
        </w:rPr>
        <w:t xml:space="preserve"> 泡沫混凝土基本性能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项目</w:t>
            </w:r>
          </w:p>
        </w:tc>
        <w:tc>
          <w:tcPr>
            <w:tcW w:w="2268" w:type="dxa"/>
            <w:vAlign w:val="center"/>
          </w:tcPr>
          <w:p>
            <w:pPr>
              <w:snapToGrid w:val="0"/>
              <w:jc w:val="center"/>
              <w:rPr>
                <w:rFonts w:cs="Times New Roman"/>
                <w:sz w:val="21"/>
                <w:szCs w:val="21"/>
              </w:rPr>
            </w:pPr>
            <w:r>
              <w:rPr>
                <w:rFonts w:cs="Times New Roman"/>
                <w:sz w:val="21"/>
                <w:szCs w:val="21"/>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表观密度（kg/m³）</w:t>
            </w:r>
          </w:p>
        </w:tc>
        <w:tc>
          <w:tcPr>
            <w:tcW w:w="2268" w:type="dxa"/>
            <w:vAlign w:val="center"/>
          </w:tcPr>
          <w:p>
            <w:pPr>
              <w:snapToGrid w:val="0"/>
              <w:jc w:val="center"/>
              <w:rPr>
                <w:rFonts w:cs="Times New Roman"/>
                <w:sz w:val="21"/>
                <w:szCs w:val="21"/>
              </w:rPr>
            </w:pPr>
            <w:r>
              <w:rPr>
                <w:rFonts w:hint="eastAsia"/>
                <w:sz w:val="21"/>
                <w:szCs w:val="21"/>
              </w:rPr>
              <w:t>400~800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立方体抗压强度（MPa）</w:t>
            </w:r>
          </w:p>
        </w:tc>
        <w:tc>
          <w:tcPr>
            <w:tcW w:w="2268" w:type="dxa"/>
            <w:vAlign w:val="center"/>
          </w:tcPr>
          <w:p>
            <w:pPr>
              <w:snapToGrid w:val="0"/>
              <w:jc w:val="center"/>
              <w:rPr>
                <w:rFonts w:cs="Times New Roman"/>
                <w:sz w:val="21"/>
                <w:szCs w:val="21"/>
              </w:rPr>
            </w:pPr>
            <w:r>
              <w:rPr>
                <w:rFonts w:hint="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导热系数[W/(m·k)]</w:t>
            </w:r>
          </w:p>
        </w:tc>
        <w:tc>
          <w:tcPr>
            <w:tcW w:w="2268" w:type="dxa"/>
            <w:vAlign w:val="center"/>
          </w:tcPr>
          <w:p>
            <w:pPr>
              <w:snapToGrid w:val="0"/>
              <w:jc w:val="center"/>
              <w:rPr>
                <w:rFonts w:cs="Times New Roman"/>
                <w:sz w:val="21"/>
                <w:szCs w:val="21"/>
              </w:rPr>
            </w:pPr>
            <w:r>
              <w:rPr>
                <w:rFonts w:hint="eastAsia"/>
                <w:sz w:val="21"/>
                <w:szCs w:val="21"/>
              </w:rPr>
              <w:t>0.10~0.21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hint="eastAsia"/>
                <w:sz w:val="21"/>
                <w:szCs w:val="21"/>
              </w:rPr>
              <w:t>体积吸水率（%）</w:t>
            </w:r>
          </w:p>
        </w:tc>
        <w:tc>
          <w:tcPr>
            <w:tcW w:w="2268" w:type="dxa"/>
            <w:vAlign w:val="center"/>
          </w:tcPr>
          <w:p>
            <w:pPr>
              <w:snapToGrid w:val="0"/>
              <w:jc w:val="center"/>
              <w:rPr>
                <w:rFonts w:cs="Times New Roman"/>
                <w:sz w:val="21"/>
                <w:szCs w:val="21"/>
              </w:rPr>
            </w:pP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燃烧性能分级</w:t>
            </w:r>
          </w:p>
        </w:tc>
        <w:tc>
          <w:tcPr>
            <w:tcW w:w="2268" w:type="dxa"/>
            <w:vAlign w:val="center"/>
          </w:tcPr>
          <w:p>
            <w:pPr>
              <w:snapToGrid w:val="0"/>
              <w:jc w:val="center"/>
              <w:rPr>
                <w:rFonts w:cs="Times New Roman"/>
                <w:sz w:val="21"/>
                <w:szCs w:val="21"/>
              </w:rPr>
            </w:pPr>
            <w:r>
              <w:rPr>
                <w:rFonts w:hint="eastAsia"/>
                <w:sz w:val="21"/>
                <w:szCs w:val="21"/>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restart"/>
            <w:vAlign w:val="center"/>
          </w:tcPr>
          <w:p>
            <w:pPr>
              <w:snapToGrid w:val="0"/>
              <w:jc w:val="center"/>
              <w:rPr>
                <w:rFonts w:cs="Times New Roman"/>
                <w:sz w:val="21"/>
                <w:szCs w:val="21"/>
              </w:rPr>
            </w:pPr>
            <w:r>
              <w:rPr>
                <w:rFonts w:cs="Times New Roman"/>
                <w:sz w:val="21"/>
                <w:szCs w:val="21"/>
              </w:rPr>
              <w:t>放射性</w:t>
            </w:r>
          </w:p>
        </w:tc>
        <w:tc>
          <w:tcPr>
            <w:tcW w:w="2268" w:type="dxa"/>
            <w:vAlign w:val="center"/>
          </w:tcPr>
          <w:p>
            <w:pPr>
              <w:snapToGrid w:val="0"/>
              <w:jc w:val="center"/>
              <w:rPr>
                <w:rFonts w:cs="Times New Roman"/>
                <w:sz w:val="21"/>
                <w:szCs w:val="21"/>
              </w:rPr>
            </w:pPr>
            <w:r>
              <w:rPr>
                <w:rFonts w:hint="eastAsia"/>
                <w:sz w:val="21"/>
                <w:szCs w:val="21"/>
              </w:rPr>
              <w:t>≤1.0</w:t>
            </w:r>
          </w:p>
        </w:tc>
        <w:tc>
          <w:tcPr>
            <w:tcW w:w="2268" w:type="dxa"/>
            <w:vAlign w:val="center"/>
          </w:tcPr>
          <w:p>
            <w:pPr>
              <w:snapToGrid w:val="0"/>
              <w:jc w:val="center"/>
              <w:rPr>
                <w:rFonts w:cs="Times New Roman"/>
                <w:sz w:val="21"/>
                <w:szCs w:val="21"/>
              </w:rPr>
            </w:pPr>
            <w:r>
              <w:rPr>
                <w:rFonts w:hint="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continue"/>
            <w:vAlign w:val="center"/>
          </w:tcPr>
          <w:p>
            <w:pPr>
              <w:snapToGrid w:val="0"/>
              <w:jc w:val="center"/>
              <w:rPr>
                <w:rFonts w:cs="Times New Roman"/>
                <w:sz w:val="21"/>
                <w:szCs w:val="21"/>
              </w:rPr>
            </w:pPr>
          </w:p>
        </w:tc>
        <w:tc>
          <w:tcPr>
            <w:tcW w:w="2268" w:type="dxa"/>
            <w:vAlign w:val="center"/>
          </w:tcPr>
          <w:p>
            <w:pPr>
              <w:snapToGrid w:val="0"/>
              <w:jc w:val="center"/>
              <w:rPr>
                <w:rFonts w:cs="Times New Roman"/>
                <w:sz w:val="21"/>
                <w:szCs w:val="21"/>
              </w:rPr>
            </w:pPr>
            <w:r>
              <w:rPr>
                <w:rFonts w:hint="eastAsia"/>
                <w:sz w:val="21"/>
                <w:szCs w:val="21"/>
              </w:rPr>
              <w:t>≤1.0</w:t>
            </w:r>
          </w:p>
        </w:tc>
        <w:tc>
          <w:tcPr>
            <w:tcW w:w="2268" w:type="dxa"/>
            <w:vAlign w:val="center"/>
          </w:tcPr>
          <w:p>
            <w:pPr>
              <w:snapToGrid w:val="0"/>
              <w:jc w:val="center"/>
              <w:rPr>
                <w:rFonts w:cs="Times New Roman"/>
                <w:sz w:val="21"/>
                <w:szCs w:val="21"/>
              </w:rPr>
            </w:pPr>
            <w:r>
              <w:rPr>
                <w:rFonts w:hint="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匀质性[干表观密度差</w:t>
            </w:r>
            <w:r>
              <w:rPr>
                <w:rFonts w:hint="eastAsia" w:cs="Times New Roman"/>
                <w:sz w:val="21"/>
                <w:szCs w:val="21"/>
              </w:rPr>
              <w:t>(</w:t>
            </w:r>
            <w:r>
              <w:rPr>
                <w:rFonts w:cs="Times New Roman"/>
                <w:sz w:val="21"/>
                <w:szCs w:val="21"/>
              </w:rPr>
              <w:t>kg/m³</w:t>
            </w:r>
            <w:r>
              <w:rPr>
                <w:rFonts w:hint="eastAsia" w:cs="Times New Roman"/>
                <w:sz w:val="21"/>
                <w:szCs w:val="21"/>
              </w:rPr>
              <w:t>)</w:t>
            </w:r>
            <w:r>
              <w:rPr>
                <w:rFonts w:cs="Times New Roman"/>
                <w:sz w:val="21"/>
                <w:szCs w:val="21"/>
              </w:rPr>
              <w:t>]</w:t>
            </w:r>
          </w:p>
        </w:tc>
        <w:tc>
          <w:tcPr>
            <w:tcW w:w="2268" w:type="dxa"/>
            <w:vAlign w:val="center"/>
          </w:tcPr>
          <w:p>
            <w:pPr>
              <w:snapToGrid w:val="0"/>
              <w:jc w:val="center"/>
              <w:rPr>
                <w:rFonts w:cs="Times New Roman"/>
                <w:sz w:val="21"/>
                <w:szCs w:val="21"/>
              </w:rPr>
            </w:pPr>
            <w:r>
              <w:rPr>
                <w:rFonts w:hint="eastAsia"/>
                <w:sz w:val="21"/>
                <w:szCs w:val="21"/>
              </w:rPr>
              <w:t>≤50</w:t>
            </w:r>
          </w:p>
        </w:tc>
      </w:tr>
    </w:tbl>
    <w:p>
      <w:pPr>
        <w:snapToGrid w:val="0"/>
        <w:rPr>
          <w:rFonts w:cs="Times New Roman"/>
        </w:rPr>
      </w:pPr>
      <w:r>
        <w:rPr>
          <w:rStyle w:val="22"/>
          <w:rFonts w:ascii="Times New Roman" w:hAnsi="Times New Roman" w:cs="Times New Roman"/>
        </w:rPr>
        <w:t>3.3.</w:t>
      </w:r>
      <w:r>
        <w:rPr>
          <w:rStyle w:val="22"/>
          <w:rFonts w:hint="eastAsia" w:ascii="Times New Roman" w:hAnsi="Times New Roman" w:cs="Times New Roman"/>
        </w:rPr>
        <w:t>5</w:t>
      </w:r>
      <w:r>
        <w:rPr>
          <w:rStyle w:val="22"/>
          <w:rFonts w:ascii="Times New Roman" w:hAnsi="Times New Roman" w:cs="Times New Roman"/>
        </w:rPr>
        <w:t xml:space="preserve">  </w:t>
      </w:r>
      <w:r>
        <w:rPr>
          <w:rFonts w:hint="eastAsia"/>
        </w:rPr>
        <w:t>用于</w:t>
      </w:r>
      <w:r>
        <w:rPr>
          <w:rFonts w:cs="Times New Roman"/>
        </w:rPr>
        <w:t>装配式复合轻质墙体的聚苯颗粒轻混凝土的性能应满足表3.3.</w:t>
      </w:r>
      <w:r>
        <w:rPr>
          <w:rFonts w:hint="eastAsia" w:cs="Times New Roman"/>
        </w:rPr>
        <w:t>5</w:t>
      </w:r>
      <w:r>
        <w:rPr>
          <w:rFonts w:cs="Times New Roman"/>
        </w:rPr>
        <w:t>的要求。</w:t>
      </w:r>
    </w:p>
    <w:p>
      <w:pPr>
        <w:snapToGrid w:val="0"/>
        <w:jc w:val="center"/>
        <w:rPr>
          <w:rFonts w:cs="Times New Roman"/>
        </w:rPr>
      </w:pPr>
      <w:r>
        <w:rPr>
          <w:rFonts w:cs="Times New Roman"/>
          <w:b/>
          <w:bCs/>
          <w:sz w:val="20"/>
        </w:rPr>
        <w:t>表3.3.</w:t>
      </w:r>
      <w:r>
        <w:rPr>
          <w:rFonts w:hint="eastAsia" w:cs="Times New Roman"/>
          <w:b/>
          <w:bCs/>
          <w:sz w:val="20"/>
        </w:rPr>
        <w:t>5</w:t>
      </w:r>
      <w:r>
        <w:rPr>
          <w:rFonts w:cs="Times New Roman"/>
          <w:b/>
          <w:bCs/>
          <w:sz w:val="20"/>
        </w:rPr>
        <w:t xml:space="preserve"> 聚苯颗粒混凝土基本性能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项目</w:t>
            </w:r>
          </w:p>
        </w:tc>
        <w:tc>
          <w:tcPr>
            <w:tcW w:w="2268" w:type="dxa"/>
            <w:vAlign w:val="center"/>
          </w:tcPr>
          <w:p>
            <w:pPr>
              <w:snapToGrid w:val="0"/>
              <w:jc w:val="center"/>
              <w:rPr>
                <w:rFonts w:cs="Times New Roman"/>
                <w:sz w:val="21"/>
                <w:szCs w:val="21"/>
              </w:rPr>
            </w:pPr>
            <w:r>
              <w:rPr>
                <w:rFonts w:cs="Times New Roman"/>
                <w:sz w:val="21"/>
                <w:szCs w:val="21"/>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表观密度（kg/m³）</w:t>
            </w:r>
          </w:p>
        </w:tc>
        <w:tc>
          <w:tcPr>
            <w:tcW w:w="2268" w:type="dxa"/>
            <w:vAlign w:val="center"/>
          </w:tcPr>
          <w:p>
            <w:pPr>
              <w:snapToGrid w:val="0"/>
              <w:jc w:val="center"/>
              <w:rPr>
                <w:rFonts w:cs="Times New Roman"/>
                <w:sz w:val="21"/>
                <w:szCs w:val="21"/>
              </w:rPr>
            </w:pPr>
            <w:r>
              <w:rPr>
                <w:rFonts w:cs="Times New Roman"/>
                <w:sz w:val="21"/>
                <w:szCs w:val="21"/>
              </w:rPr>
              <w:t>4</w:t>
            </w:r>
            <w:r>
              <w:rPr>
                <w:rFonts w:hint="eastAsia" w:cs="Times New Roman"/>
                <w:sz w:val="21"/>
                <w:szCs w:val="21"/>
              </w:rPr>
              <w:t>0</w:t>
            </w:r>
            <w:r>
              <w:rPr>
                <w:rFonts w:cs="Times New Roman"/>
                <w:sz w:val="21"/>
                <w:szCs w:val="21"/>
              </w:rPr>
              <w:t>0~</w:t>
            </w:r>
            <w:r>
              <w:rPr>
                <w:rFonts w:hint="eastAsia" w:cs="Times New Roman"/>
                <w:sz w:val="21"/>
                <w:szCs w:val="21"/>
              </w:rPr>
              <w:t>65</w:t>
            </w:r>
            <w:r>
              <w:rPr>
                <w:rFonts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立方体抗压强度（MPa）</w:t>
            </w:r>
          </w:p>
        </w:tc>
        <w:tc>
          <w:tcPr>
            <w:tcW w:w="2268" w:type="dxa"/>
            <w:vAlign w:val="center"/>
          </w:tcPr>
          <w:p>
            <w:pPr>
              <w:snapToGrid w:val="0"/>
              <w:jc w:val="center"/>
              <w:rPr>
                <w:rFonts w:cs="Times New Roman"/>
                <w:sz w:val="21"/>
                <w:szCs w:val="21"/>
              </w:rPr>
            </w:pPr>
            <w:r>
              <w:rPr>
                <w:rFonts w:hint="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导热系数[W/(m·k)]</w:t>
            </w:r>
          </w:p>
        </w:tc>
        <w:tc>
          <w:tcPr>
            <w:tcW w:w="2268" w:type="dxa"/>
            <w:vAlign w:val="center"/>
          </w:tcPr>
          <w:p>
            <w:pPr>
              <w:snapToGrid w:val="0"/>
              <w:jc w:val="center"/>
              <w:rPr>
                <w:rFonts w:cs="Times New Roman"/>
                <w:sz w:val="21"/>
                <w:szCs w:val="21"/>
              </w:rPr>
            </w:pPr>
            <w:r>
              <w:rPr>
                <w:rFonts w:cs="Times New Roman"/>
                <w:sz w:val="21"/>
                <w:szCs w:val="21"/>
              </w:rPr>
              <w:t>0.10~0.14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hint="eastAsia"/>
                <w:sz w:val="21"/>
                <w:szCs w:val="21"/>
              </w:rPr>
              <w:t>体积吸水率（%）</w:t>
            </w:r>
          </w:p>
        </w:tc>
        <w:tc>
          <w:tcPr>
            <w:tcW w:w="2268" w:type="dxa"/>
            <w:vAlign w:val="center"/>
          </w:tcPr>
          <w:p>
            <w:pPr>
              <w:snapToGrid w:val="0"/>
              <w:jc w:val="center"/>
              <w:rPr>
                <w:rFonts w:cs="Times New Roman"/>
                <w:sz w:val="21"/>
                <w:szCs w:val="21"/>
              </w:rPr>
            </w:pP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燃烧性能分级</w:t>
            </w:r>
          </w:p>
        </w:tc>
        <w:tc>
          <w:tcPr>
            <w:tcW w:w="2268" w:type="dxa"/>
            <w:vAlign w:val="center"/>
          </w:tcPr>
          <w:p>
            <w:pPr>
              <w:snapToGrid w:val="0"/>
              <w:jc w:val="center"/>
              <w:rPr>
                <w:rFonts w:cs="Times New Roman"/>
                <w:sz w:val="21"/>
                <w:szCs w:val="21"/>
              </w:rPr>
            </w:pPr>
            <w:r>
              <w:rPr>
                <w:rFonts w:hint="eastAsia"/>
                <w:sz w:val="21"/>
                <w:szCs w:val="21"/>
              </w:rPr>
              <w: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restart"/>
            <w:vAlign w:val="center"/>
          </w:tcPr>
          <w:p>
            <w:pPr>
              <w:snapToGrid w:val="0"/>
              <w:jc w:val="center"/>
              <w:rPr>
                <w:rFonts w:cs="Times New Roman"/>
                <w:sz w:val="21"/>
                <w:szCs w:val="21"/>
              </w:rPr>
            </w:pPr>
            <w:r>
              <w:rPr>
                <w:rFonts w:cs="Times New Roman"/>
                <w:sz w:val="21"/>
                <w:szCs w:val="21"/>
              </w:rPr>
              <w:t>放射性</w:t>
            </w:r>
          </w:p>
        </w:tc>
        <w:tc>
          <w:tcPr>
            <w:tcW w:w="2268" w:type="dxa"/>
            <w:vAlign w:val="center"/>
          </w:tcPr>
          <w:p>
            <w:pPr>
              <w:snapToGrid w:val="0"/>
              <w:jc w:val="center"/>
              <w:rPr>
                <w:rFonts w:cs="Times New Roman"/>
                <w:sz w:val="21"/>
                <w:szCs w:val="21"/>
              </w:rPr>
            </w:pPr>
            <w:r>
              <w:rPr>
                <w:rFonts w:hint="eastAsia"/>
                <w:sz w:val="21"/>
                <w:szCs w:val="21"/>
              </w:rPr>
              <w:t>≤1.0</w:t>
            </w:r>
          </w:p>
        </w:tc>
        <w:tc>
          <w:tcPr>
            <w:tcW w:w="2268" w:type="dxa"/>
            <w:vAlign w:val="center"/>
          </w:tcPr>
          <w:p>
            <w:pPr>
              <w:snapToGrid w:val="0"/>
              <w:jc w:val="center"/>
              <w:rPr>
                <w:rFonts w:cs="Times New Roman"/>
                <w:sz w:val="21"/>
                <w:szCs w:val="21"/>
              </w:rPr>
            </w:pPr>
            <w:r>
              <w:rPr>
                <w:rFonts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Merge w:val="continue"/>
            <w:vAlign w:val="center"/>
          </w:tcPr>
          <w:p>
            <w:pPr>
              <w:snapToGrid w:val="0"/>
              <w:jc w:val="center"/>
              <w:rPr>
                <w:rFonts w:cs="Times New Roman"/>
                <w:sz w:val="21"/>
                <w:szCs w:val="21"/>
              </w:rPr>
            </w:pPr>
          </w:p>
        </w:tc>
        <w:tc>
          <w:tcPr>
            <w:tcW w:w="2268" w:type="dxa"/>
            <w:vAlign w:val="center"/>
          </w:tcPr>
          <w:p>
            <w:pPr>
              <w:snapToGrid w:val="0"/>
              <w:jc w:val="center"/>
              <w:rPr>
                <w:rFonts w:cs="Times New Roman"/>
                <w:sz w:val="21"/>
                <w:szCs w:val="21"/>
              </w:rPr>
            </w:pPr>
            <w:r>
              <w:rPr>
                <w:rFonts w:hint="eastAsia"/>
                <w:sz w:val="21"/>
                <w:szCs w:val="21"/>
              </w:rPr>
              <w:t>≤1.0</w:t>
            </w:r>
          </w:p>
        </w:tc>
        <w:tc>
          <w:tcPr>
            <w:tcW w:w="2268" w:type="dxa"/>
            <w:vAlign w:val="center"/>
          </w:tcPr>
          <w:p>
            <w:pPr>
              <w:snapToGrid w:val="0"/>
              <w:jc w:val="center"/>
              <w:rPr>
                <w:rFonts w:cs="Times New Roman"/>
                <w:sz w:val="21"/>
                <w:szCs w:val="21"/>
              </w:rPr>
            </w:pPr>
            <w:r>
              <w:rPr>
                <w:rFonts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6" w:type="dxa"/>
            <w:gridSpan w:val="2"/>
            <w:vAlign w:val="center"/>
          </w:tcPr>
          <w:p>
            <w:pPr>
              <w:snapToGrid w:val="0"/>
              <w:jc w:val="center"/>
              <w:rPr>
                <w:rFonts w:cs="Times New Roman"/>
                <w:sz w:val="21"/>
                <w:szCs w:val="21"/>
              </w:rPr>
            </w:pPr>
            <w:r>
              <w:rPr>
                <w:rFonts w:cs="Times New Roman"/>
                <w:sz w:val="21"/>
                <w:szCs w:val="21"/>
              </w:rPr>
              <w:t>匀质性[干表观密度差</w:t>
            </w:r>
            <w:r>
              <w:rPr>
                <w:rFonts w:hint="eastAsia" w:cs="Times New Roman"/>
                <w:sz w:val="21"/>
                <w:szCs w:val="21"/>
              </w:rPr>
              <w:t>(</w:t>
            </w:r>
            <w:r>
              <w:rPr>
                <w:rFonts w:cs="Times New Roman"/>
                <w:sz w:val="21"/>
                <w:szCs w:val="21"/>
              </w:rPr>
              <w:t>kg/m³</w:t>
            </w:r>
            <w:r>
              <w:rPr>
                <w:rFonts w:hint="eastAsia" w:cs="Times New Roman"/>
                <w:sz w:val="21"/>
                <w:szCs w:val="21"/>
              </w:rPr>
              <w:t>)</w:t>
            </w:r>
            <w:r>
              <w:rPr>
                <w:rFonts w:cs="Times New Roman"/>
                <w:sz w:val="21"/>
                <w:szCs w:val="21"/>
              </w:rPr>
              <w:t>]</w:t>
            </w:r>
          </w:p>
        </w:tc>
        <w:tc>
          <w:tcPr>
            <w:tcW w:w="2268" w:type="dxa"/>
            <w:vAlign w:val="center"/>
          </w:tcPr>
          <w:p>
            <w:pPr>
              <w:snapToGrid w:val="0"/>
              <w:jc w:val="center"/>
              <w:rPr>
                <w:rFonts w:cs="Times New Roman"/>
                <w:sz w:val="21"/>
                <w:szCs w:val="21"/>
              </w:rPr>
            </w:pPr>
            <w:r>
              <w:rPr>
                <w:rFonts w:hint="eastAsia"/>
                <w:sz w:val="21"/>
                <w:szCs w:val="21"/>
              </w:rPr>
              <w:t>≤50</w:t>
            </w:r>
          </w:p>
        </w:tc>
      </w:tr>
    </w:tbl>
    <w:p>
      <w:pPr>
        <w:snapToGrid w:val="0"/>
        <w:rPr>
          <w:rFonts w:cs="Times New Roman"/>
        </w:rPr>
      </w:pPr>
      <w:r>
        <w:rPr>
          <w:rStyle w:val="22"/>
          <w:rFonts w:ascii="Times New Roman" w:hAnsi="Times New Roman" w:cs="Times New Roman"/>
        </w:rPr>
        <w:t>3.3.</w:t>
      </w:r>
      <w:r>
        <w:rPr>
          <w:rStyle w:val="22"/>
          <w:rFonts w:hint="eastAsia" w:ascii="Times New Roman" w:hAnsi="Times New Roman" w:cs="Times New Roman"/>
        </w:rPr>
        <w:t>6</w:t>
      </w:r>
      <w:r>
        <w:rPr>
          <w:rStyle w:val="22"/>
          <w:rFonts w:ascii="Times New Roman" w:hAnsi="Times New Roman" w:cs="Times New Roman"/>
        </w:rPr>
        <w:t xml:space="preserve">  </w:t>
      </w:r>
      <w:r>
        <w:rPr>
          <w:rFonts w:hint="eastAsia"/>
        </w:rPr>
        <w:t>当注仓料选用其他种类的轻混凝土时，其性能指标应符合国家现行相关标准的规定。</w:t>
      </w:r>
    </w:p>
    <w:p>
      <w:pPr>
        <w:snapToGrid w:val="0"/>
      </w:pPr>
      <w:r>
        <w:rPr>
          <w:rStyle w:val="22"/>
          <w:rFonts w:hint="eastAsia" w:ascii="Times New Roman" w:hAnsi="Times New Roman" w:cs="Times New Roman"/>
        </w:rPr>
        <w:t>3.3.7</w:t>
      </w:r>
      <w:r>
        <w:rPr>
          <w:rFonts w:hint="eastAsia"/>
        </w:rPr>
        <w:t> 注仓料的燃烧性能不应低于A</w:t>
      </w:r>
      <w:r>
        <w:rPr>
          <w:rFonts w:hint="eastAsia"/>
          <w:sz w:val="18"/>
          <w:szCs w:val="18"/>
        </w:rPr>
        <w:t>2</w:t>
      </w:r>
      <w:r>
        <w:rPr>
          <w:rFonts w:hint="eastAsia"/>
        </w:rPr>
        <w:t>级。</w:t>
      </w:r>
    </w:p>
    <w:p>
      <w:pPr>
        <w:snapToGrid w:val="0"/>
      </w:pPr>
      <w:r>
        <w:rPr>
          <w:rStyle w:val="22"/>
          <w:rFonts w:hint="eastAsia" w:ascii="Times New Roman" w:hAnsi="Times New Roman" w:cs="Times New Roman"/>
        </w:rPr>
        <w:t>3.3.8</w:t>
      </w:r>
      <w:r>
        <w:rPr>
          <w:rFonts w:hint="eastAsia"/>
        </w:rPr>
        <w:t> 具有防水性能的注仓料，添加的防水剂应符合现行行业标准《砂浆、混凝土防水剂》JC/T 474的规定。</w:t>
      </w:r>
    </w:p>
    <w:p>
      <w:pPr>
        <w:snapToGrid w:val="0"/>
      </w:pPr>
    </w:p>
    <w:p>
      <w:pPr>
        <w:pStyle w:val="4"/>
        <w:snapToGrid w:val="0"/>
        <w:spacing w:before="0" w:after="0" w:line="360" w:lineRule="auto"/>
        <w:rPr>
          <w:rFonts w:ascii="Times New Roman" w:hAnsi="Times New Roman" w:cs="Times New Roman"/>
        </w:rPr>
      </w:pPr>
      <w:bookmarkStart w:id="46" w:name="_Toc7554"/>
      <w:r>
        <w:rPr>
          <w:rFonts w:ascii="Times New Roman" w:hAnsi="Times New Roman" w:cs="Times New Roman"/>
        </w:rPr>
        <w:t>3.4  </w:t>
      </w:r>
      <w:bookmarkEnd w:id="42"/>
      <w:bookmarkEnd w:id="43"/>
      <w:bookmarkEnd w:id="44"/>
      <w:bookmarkEnd w:id="45"/>
      <w:r>
        <w:rPr>
          <w:rFonts w:ascii="Times New Roman" w:hAnsi="Times New Roman" w:cs="Times New Roman"/>
        </w:rPr>
        <w:t>保温</w:t>
      </w:r>
      <w:r>
        <w:rPr>
          <w:rFonts w:hint="eastAsia" w:ascii="Times New Roman" w:hAnsi="Times New Roman" w:cs="Times New Roman"/>
        </w:rPr>
        <w:t>板</w:t>
      </w:r>
      <w:bookmarkEnd w:id="46"/>
    </w:p>
    <w:p>
      <w:pPr>
        <w:snapToGrid w:val="0"/>
      </w:pPr>
      <w:r>
        <w:rPr>
          <w:rStyle w:val="22"/>
          <w:rFonts w:ascii="Times New Roman" w:hAnsi="Times New Roman" w:cs="Times New Roman"/>
        </w:rPr>
        <w:t>3.4.1</w:t>
      </w:r>
      <w:r>
        <w:rPr>
          <w:rFonts w:cs="Times New Roman"/>
        </w:rPr>
        <w:t> 保温板宜采用模塑聚苯板、挤塑聚苯</w:t>
      </w:r>
      <w:r>
        <w:rPr>
          <w:rFonts w:hint="eastAsia" w:cs="Times New Roman"/>
        </w:rPr>
        <w:t>板</w:t>
      </w:r>
      <w:r>
        <w:rPr>
          <w:rFonts w:cs="Times New Roman"/>
        </w:rPr>
        <w:t>、硬泡聚氨酯板塑料等，</w:t>
      </w:r>
      <w:r>
        <w:rPr>
          <w:rFonts w:hint="eastAsia"/>
        </w:rPr>
        <w:t>并应符合下列规定：</w:t>
      </w:r>
    </w:p>
    <w:p>
      <w:pPr>
        <w:snapToGrid w:val="0"/>
      </w:pPr>
      <w:r>
        <w:rPr>
          <w:rFonts w:hint="eastAsia"/>
        </w:rPr>
        <w:t>  </w:t>
      </w:r>
      <w:r>
        <w:rPr>
          <w:rFonts w:hint="eastAsia"/>
          <w:b/>
          <w:bCs/>
        </w:rPr>
        <w:t>1</w:t>
      </w:r>
      <w:r>
        <w:rPr>
          <w:rFonts w:hint="eastAsia"/>
        </w:rPr>
        <w:t> 模塑聚苯板应符合现行国家标准《模塑聚苯板薄抹灰外墙外保温系统材料》GB/T 29906的有关规定。 </w:t>
      </w:r>
    </w:p>
    <w:p>
      <w:pPr>
        <w:snapToGrid w:val="0"/>
        <w:ind w:firstLine="482" w:firstLineChars="200"/>
      </w:pPr>
      <w:r>
        <w:rPr>
          <w:rFonts w:hint="eastAsia"/>
          <w:b/>
          <w:bCs/>
        </w:rPr>
        <w:t>2</w:t>
      </w:r>
      <w:r>
        <w:rPr>
          <w:rFonts w:hint="eastAsia"/>
        </w:rPr>
        <w:t> 挤塑聚苯板应符合现行国家标准《挤塑聚苯板（XPS）薄抹灰外墙外保温系统材料》GB/T 30595的有关规定。</w:t>
      </w:r>
    </w:p>
    <w:p>
      <w:pPr>
        <w:snapToGrid w:val="0"/>
        <w:ind w:firstLine="482" w:firstLineChars="200"/>
      </w:pPr>
      <w:r>
        <w:rPr>
          <w:rFonts w:hint="eastAsia"/>
          <w:b/>
          <w:bCs/>
        </w:rPr>
        <w:t>3</w:t>
      </w:r>
      <w:r>
        <w:rPr>
          <w:rFonts w:hint="eastAsia"/>
        </w:rPr>
        <w:t> 硬泡聚氨酯板应符合现行行业标准《硬泡聚氨酯板薄抹灰外墙外保温系统材料》JG/T 402的有关规定。</w:t>
      </w:r>
    </w:p>
    <w:p>
      <w:pPr>
        <w:snapToGrid w:val="0"/>
        <w:ind w:firstLine="482" w:firstLineChars="200"/>
        <w:rPr>
          <w:rFonts w:cs="Times New Roman"/>
        </w:rPr>
      </w:pPr>
      <w:r>
        <w:rPr>
          <w:rFonts w:hint="eastAsia"/>
          <w:b/>
          <w:bCs/>
        </w:rPr>
        <w:t>4</w:t>
      </w:r>
      <w:r>
        <w:rPr>
          <w:rFonts w:hint="eastAsia"/>
        </w:rPr>
        <w:t> 保温板吸水率不应大于5%，燃烧性能不应低于B</w:t>
      </w:r>
      <w:r>
        <w:rPr>
          <w:rFonts w:hint="eastAsia"/>
          <w:sz w:val="18"/>
          <w:szCs w:val="18"/>
        </w:rPr>
        <w:t>1</w:t>
      </w:r>
      <w:r>
        <w:rPr>
          <w:rFonts w:hint="eastAsia"/>
        </w:rPr>
        <w:t>级。</w:t>
      </w:r>
    </w:p>
    <w:p>
      <w:pPr>
        <w:snapToGrid w:val="0"/>
        <w:rPr>
          <w:rFonts w:cs="Times New Roman"/>
        </w:rPr>
      </w:pPr>
      <w:r>
        <w:rPr>
          <w:rStyle w:val="22"/>
          <w:rFonts w:ascii="Times New Roman" w:hAnsi="Times New Roman" w:cs="Times New Roman"/>
        </w:rPr>
        <w:t>3.4.2</w:t>
      </w:r>
      <w:r>
        <w:rPr>
          <w:rFonts w:cs="Times New Roman"/>
        </w:rPr>
        <w:t> 模塑聚苯板主要性能指标及其检测方法应符合表3.</w:t>
      </w:r>
      <w:r>
        <w:rPr>
          <w:rFonts w:hint="eastAsia" w:cs="Times New Roman"/>
        </w:rPr>
        <w:t>4</w:t>
      </w:r>
      <w:r>
        <w:rPr>
          <w:rFonts w:cs="Times New Roman"/>
        </w:rPr>
        <w:t>.</w:t>
      </w:r>
      <w:r>
        <w:rPr>
          <w:rFonts w:hint="eastAsia" w:cs="Times New Roman"/>
        </w:rPr>
        <w:t>2</w:t>
      </w:r>
      <w:r>
        <w:rPr>
          <w:rFonts w:cs="Times New Roman"/>
        </w:rPr>
        <w:t>的规定。</w:t>
      </w:r>
      <w:r>
        <w:rPr>
          <w:rFonts w:cs="Times New Roman"/>
        </w:rPr>
        <w:tab/>
      </w:r>
      <w:r>
        <w:rPr>
          <w:rFonts w:cs="Times New Roman"/>
        </w:rPr>
        <w:t xml:space="preserve"> </w:t>
      </w:r>
    </w:p>
    <w:p>
      <w:pPr>
        <w:snapToGrid w:val="0"/>
        <w:jc w:val="center"/>
        <w:rPr>
          <w:rFonts w:cs="Times New Roman"/>
        </w:rPr>
      </w:pPr>
      <w:r>
        <w:rPr>
          <w:rFonts w:cs="Times New Roman"/>
          <w:b/>
          <w:bCs/>
          <w:sz w:val="20"/>
        </w:rPr>
        <w:t>表3.4.2 模塑聚苯板主要性能指标及检测方法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1418"/>
        <w:gridCol w:w="4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项目</w:t>
            </w:r>
          </w:p>
        </w:tc>
        <w:tc>
          <w:tcPr>
            <w:tcW w:w="1418" w:type="dxa"/>
            <w:vAlign w:val="center"/>
          </w:tcPr>
          <w:p>
            <w:pPr>
              <w:snapToGrid w:val="0"/>
              <w:jc w:val="center"/>
              <w:rPr>
                <w:rFonts w:cs="Times New Roman"/>
                <w:sz w:val="21"/>
                <w:szCs w:val="21"/>
              </w:rPr>
            </w:pPr>
            <w:r>
              <w:rPr>
                <w:rFonts w:cs="Times New Roman"/>
                <w:sz w:val="21"/>
                <w:szCs w:val="21"/>
              </w:rPr>
              <w:t>性能指标</w:t>
            </w:r>
          </w:p>
        </w:tc>
        <w:tc>
          <w:tcPr>
            <w:tcW w:w="4691" w:type="dxa"/>
            <w:vAlign w:val="center"/>
          </w:tcPr>
          <w:p>
            <w:pPr>
              <w:snapToGrid w:val="0"/>
              <w:jc w:val="center"/>
              <w:rPr>
                <w:rFonts w:cs="Times New Roman"/>
                <w:sz w:val="21"/>
                <w:szCs w:val="21"/>
              </w:rPr>
            </w:pPr>
            <w:r>
              <w:rPr>
                <w:rFonts w:cs="Times New Roman"/>
                <w:sz w:val="21"/>
                <w:szCs w:val="21"/>
              </w:rPr>
              <w:t>检测</w:t>
            </w:r>
            <w:r>
              <w:rPr>
                <w:rFonts w:hint="eastAsia" w:cs="Times New Roman"/>
                <w:sz w:val="21"/>
                <w:szCs w:val="21"/>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表观密度(kg/m³)</w:t>
            </w:r>
          </w:p>
        </w:tc>
        <w:tc>
          <w:tcPr>
            <w:tcW w:w="1418" w:type="dxa"/>
            <w:vAlign w:val="center"/>
          </w:tcPr>
          <w:p>
            <w:pPr>
              <w:snapToGrid w:val="0"/>
              <w:jc w:val="center"/>
              <w:rPr>
                <w:rFonts w:cs="Times New Roman"/>
                <w:sz w:val="21"/>
                <w:szCs w:val="21"/>
              </w:rPr>
            </w:pPr>
            <w:r>
              <w:rPr>
                <w:rFonts w:cs="Times New Roman"/>
                <w:sz w:val="21"/>
                <w:szCs w:val="21"/>
              </w:rPr>
              <w:t>18~22</w:t>
            </w:r>
          </w:p>
        </w:tc>
        <w:tc>
          <w:tcPr>
            <w:tcW w:w="4691" w:type="dxa"/>
            <w:vAlign w:val="center"/>
          </w:tcPr>
          <w:p>
            <w:pPr>
              <w:snapToGrid w:val="0"/>
              <w:jc w:val="both"/>
              <w:rPr>
                <w:rFonts w:cs="Times New Roman"/>
                <w:sz w:val="21"/>
                <w:szCs w:val="21"/>
              </w:rPr>
            </w:pPr>
            <w:r>
              <w:rPr>
                <w:rFonts w:cs="Times New Roman"/>
                <w:sz w:val="21"/>
                <w:szCs w:val="21"/>
              </w:rPr>
              <w:t>《泡沫塑料及橡胶 表观密度的测定》GB/T 6343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导热系数[W/(m·k)]</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0.039</w:t>
            </w:r>
          </w:p>
        </w:tc>
        <w:tc>
          <w:tcPr>
            <w:tcW w:w="4691" w:type="dxa"/>
            <w:vAlign w:val="center"/>
          </w:tcPr>
          <w:p>
            <w:pPr>
              <w:snapToGrid w:val="0"/>
              <w:jc w:val="both"/>
              <w:rPr>
                <w:rFonts w:cs="Times New Roman"/>
                <w:sz w:val="21"/>
                <w:szCs w:val="21"/>
              </w:rPr>
            </w:pPr>
            <w:r>
              <w:rPr>
                <w:rFonts w:cs="Times New Roman"/>
                <w:sz w:val="21"/>
                <w:szCs w:val="21"/>
              </w:rPr>
              <w:t>《绝热材料稳态热阻及有关特性的测定 防护热板法》GB/T 10294</w:t>
            </w:r>
          </w:p>
          <w:p>
            <w:pPr>
              <w:snapToGrid w:val="0"/>
              <w:jc w:val="both"/>
              <w:rPr>
                <w:rFonts w:cs="Times New Roman"/>
                <w:sz w:val="21"/>
                <w:szCs w:val="21"/>
              </w:rPr>
            </w:pPr>
            <w:r>
              <w:rPr>
                <w:rFonts w:cs="Times New Roman"/>
                <w:sz w:val="21"/>
                <w:szCs w:val="21"/>
              </w:rPr>
              <w:t>《绝热材料稳态热阻及有关特性的测定 热流计法》GB/T 10295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压缩强度（MPa）</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0.10</w:t>
            </w:r>
          </w:p>
        </w:tc>
        <w:tc>
          <w:tcPr>
            <w:tcW w:w="4691" w:type="dxa"/>
            <w:vAlign w:val="center"/>
          </w:tcPr>
          <w:p>
            <w:pPr>
              <w:snapToGrid w:val="0"/>
              <w:jc w:val="both"/>
              <w:rPr>
                <w:rFonts w:cs="Times New Roman"/>
                <w:sz w:val="21"/>
                <w:szCs w:val="21"/>
              </w:rPr>
            </w:pPr>
            <w:r>
              <w:rPr>
                <w:rFonts w:cs="Times New Roman"/>
                <w:sz w:val="21"/>
                <w:szCs w:val="21"/>
              </w:rPr>
              <w:t>《硬质泡沫塑料 压缩性能的测定》GB/T 8813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垂直于板面的抗拉强度（MPa）</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0.10</w:t>
            </w:r>
          </w:p>
        </w:tc>
        <w:tc>
          <w:tcPr>
            <w:tcW w:w="4691" w:type="dxa"/>
            <w:vAlign w:val="center"/>
          </w:tcPr>
          <w:p>
            <w:pPr>
              <w:snapToGrid w:val="0"/>
              <w:jc w:val="both"/>
              <w:rPr>
                <w:rFonts w:cs="Times New Roman"/>
                <w:sz w:val="21"/>
                <w:szCs w:val="21"/>
              </w:rPr>
            </w:pPr>
            <w:r>
              <w:rPr>
                <w:rFonts w:cs="Times New Roman"/>
                <w:sz w:val="21"/>
                <w:szCs w:val="21"/>
              </w:rPr>
              <w:t>《外墙外保温工程技术规程》JGJ 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尺寸稳定性（%）</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0.50</w:t>
            </w:r>
          </w:p>
        </w:tc>
        <w:tc>
          <w:tcPr>
            <w:tcW w:w="4691" w:type="dxa"/>
            <w:vAlign w:val="center"/>
          </w:tcPr>
          <w:p>
            <w:pPr>
              <w:snapToGrid w:val="0"/>
              <w:jc w:val="both"/>
              <w:rPr>
                <w:rFonts w:cs="Times New Roman"/>
                <w:sz w:val="21"/>
                <w:szCs w:val="21"/>
              </w:rPr>
            </w:pPr>
            <w:r>
              <w:rPr>
                <w:rFonts w:cs="Times New Roman"/>
                <w:sz w:val="21"/>
                <w:szCs w:val="21"/>
              </w:rPr>
              <w:t>《硬质泡沫塑料 尺寸稳定性试验方法》GB/T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吸水率（%）</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4.0</w:t>
            </w:r>
          </w:p>
        </w:tc>
        <w:tc>
          <w:tcPr>
            <w:tcW w:w="4691" w:type="dxa"/>
            <w:vAlign w:val="center"/>
          </w:tcPr>
          <w:p>
            <w:pPr>
              <w:snapToGrid w:val="0"/>
              <w:jc w:val="both"/>
              <w:rPr>
                <w:rFonts w:cs="Times New Roman"/>
                <w:sz w:val="21"/>
                <w:szCs w:val="21"/>
              </w:rPr>
            </w:pPr>
            <w:r>
              <w:rPr>
                <w:rFonts w:cs="Times New Roman"/>
                <w:sz w:val="21"/>
                <w:szCs w:val="21"/>
              </w:rPr>
              <w:t>《硬质泡沫塑料 吸水率规定》GB/T 8810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燃烧性能</w:t>
            </w:r>
          </w:p>
        </w:tc>
        <w:tc>
          <w:tcPr>
            <w:tcW w:w="1418" w:type="dxa"/>
            <w:vAlign w:val="center"/>
          </w:tcPr>
          <w:p>
            <w:pPr>
              <w:snapToGrid w:val="0"/>
              <w:jc w:val="center"/>
              <w:rPr>
                <w:rFonts w:cs="Times New Roman"/>
                <w:sz w:val="21"/>
                <w:szCs w:val="21"/>
              </w:rPr>
            </w:pPr>
            <w:r>
              <w:rPr>
                <w:rFonts w:cs="Times New Roman"/>
                <w:sz w:val="21"/>
                <w:szCs w:val="21"/>
              </w:rPr>
              <w:t>不低于B1级</w:t>
            </w:r>
          </w:p>
        </w:tc>
        <w:tc>
          <w:tcPr>
            <w:tcW w:w="4691" w:type="dxa"/>
            <w:vAlign w:val="center"/>
          </w:tcPr>
          <w:p>
            <w:pPr>
              <w:snapToGrid w:val="0"/>
              <w:jc w:val="both"/>
              <w:rPr>
                <w:rFonts w:cs="Times New Roman"/>
                <w:sz w:val="21"/>
                <w:szCs w:val="21"/>
              </w:rPr>
            </w:pPr>
            <w:r>
              <w:rPr>
                <w:rFonts w:cs="Times New Roman"/>
                <w:sz w:val="21"/>
                <w:szCs w:val="21"/>
              </w:rPr>
              <w:t>《建筑材料及制品燃烧性能分级》GB 8624</w:t>
            </w:r>
          </w:p>
        </w:tc>
      </w:tr>
    </w:tbl>
    <w:p>
      <w:pPr>
        <w:snapToGrid w:val="0"/>
        <w:rPr>
          <w:rStyle w:val="22"/>
          <w:rFonts w:ascii="Times New Roman" w:hAnsi="Times New Roman" w:cs="Times New Roman"/>
        </w:rPr>
      </w:pPr>
    </w:p>
    <w:p>
      <w:pPr>
        <w:snapToGrid w:val="0"/>
        <w:rPr>
          <w:rFonts w:cs="Times New Roman"/>
        </w:rPr>
      </w:pPr>
      <w:r>
        <w:rPr>
          <w:rStyle w:val="22"/>
          <w:rFonts w:ascii="Times New Roman" w:hAnsi="Times New Roman" w:cs="Times New Roman"/>
        </w:rPr>
        <w:t>3.4.</w:t>
      </w:r>
      <w:r>
        <w:rPr>
          <w:rStyle w:val="22"/>
          <w:rFonts w:hint="eastAsia" w:ascii="Times New Roman" w:hAnsi="Times New Roman" w:cs="Times New Roman"/>
        </w:rPr>
        <w:t>3</w:t>
      </w:r>
      <w:r>
        <w:rPr>
          <w:rFonts w:cs="Times New Roman"/>
        </w:rPr>
        <w:t xml:space="preserve">  挤塑聚苯</w:t>
      </w:r>
      <w:r>
        <w:rPr>
          <w:rFonts w:hint="eastAsia" w:cs="Times New Roman"/>
        </w:rPr>
        <w:t>板</w:t>
      </w:r>
      <w:r>
        <w:rPr>
          <w:rFonts w:cs="Times New Roman"/>
        </w:rPr>
        <w:t>主要性能指标及其检测方法应符合表3.4.</w:t>
      </w:r>
      <w:r>
        <w:rPr>
          <w:rFonts w:hint="eastAsia" w:cs="Times New Roman"/>
        </w:rPr>
        <w:t>3</w:t>
      </w:r>
      <w:r>
        <w:rPr>
          <w:rFonts w:cs="Times New Roman"/>
        </w:rPr>
        <w:t>的规定。</w:t>
      </w:r>
    </w:p>
    <w:p>
      <w:pPr>
        <w:snapToGrid w:val="0"/>
        <w:jc w:val="center"/>
        <w:rPr>
          <w:rFonts w:cs="Times New Roman"/>
        </w:rPr>
      </w:pPr>
      <w:r>
        <w:rPr>
          <w:rFonts w:cs="Times New Roman"/>
          <w:b/>
          <w:bCs/>
          <w:sz w:val="20"/>
        </w:rPr>
        <w:t>表3.4.</w:t>
      </w:r>
      <w:r>
        <w:rPr>
          <w:rFonts w:hint="eastAsia" w:cs="Times New Roman"/>
          <w:b/>
          <w:bCs/>
          <w:sz w:val="20"/>
        </w:rPr>
        <w:t>3</w:t>
      </w:r>
      <w:r>
        <w:rPr>
          <w:rFonts w:cs="Times New Roman"/>
          <w:b/>
          <w:bCs/>
          <w:sz w:val="20"/>
        </w:rPr>
        <w:t xml:space="preserve"> 挤塑聚苯</w:t>
      </w:r>
      <w:r>
        <w:rPr>
          <w:rFonts w:hint="eastAsia" w:cs="Times New Roman"/>
          <w:b/>
          <w:bCs/>
          <w:sz w:val="20"/>
        </w:rPr>
        <w:t>板</w:t>
      </w:r>
      <w:r>
        <w:rPr>
          <w:rFonts w:cs="Times New Roman"/>
          <w:b/>
          <w:bCs/>
          <w:sz w:val="20"/>
        </w:rPr>
        <w:t>主要性能指标及检测方法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1418"/>
        <w:gridCol w:w="4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39" w:type="dxa"/>
            <w:vAlign w:val="center"/>
          </w:tcPr>
          <w:p>
            <w:pPr>
              <w:snapToGrid w:val="0"/>
              <w:jc w:val="center"/>
              <w:rPr>
                <w:rFonts w:cs="Times New Roman"/>
                <w:sz w:val="21"/>
                <w:szCs w:val="21"/>
              </w:rPr>
            </w:pPr>
            <w:r>
              <w:rPr>
                <w:rFonts w:cs="Times New Roman"/>
                <w:sz w:val="21"/>
                <w:szCs w:val="21"/>
              </w:rPr>
              <w:t>项目</w:t>
            </w:r>
          </w:p>
        </w:tc>
        <w:tc>
          <w:tcPr>
            <w:tcW w:w="1418" w:type="dxa"/>
            <w:vAlign w:val="center"/>
          </w:tcPr>
          <w:p>
            <w:pPr>
              <w:snapToGrid w:val="0"/>
              <w:jc w:val="center"/>
              <w:rPr>
                <w:rFonts w:cs="Times New Roman"/>
                <w:sz w:val="21"/>
                <w:szCs w:val="21"/>
              </w:rPr>
            </w:pPr>
            <w:r>
              <w:rPr>
                <w:rFonts w:cs="Times New Roman"/>
                <w:sz w:val="21"/>
                <w:szCs w:val="21"/>
              </w:rPr>
              <w:t>性能指标</w:t>
            </w:r>
          </w:p>
        </w:tc>
        <w:tc>
          <w:tcPr>
            <w:tcW w:w="4691" w:type="dxa"/>
            <w:vAlign w:val="center"/>
          </w:tcPr>
          <w:p>
            <w:pPr>
              <w:snapToGrid w:val="0"/>
              <w:jc w:val="center"/>
              <w:rPr>
                <w:rFonts w:cs="Times New Roman"/>
                <w:sz w:val="21"/>
                <w:szCs w:val="21"/>
              </w:rPr>
            </w:pPr>
            <w:r>
              <w:rPr>
                <w:rFonts w:cs="Times New Roman"/>
                <w:sz w:val="21"/>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表观密度(kg/m³)</w:t>
            </w:r>
          </w:p>
        </w:tc>
        <w:tc>
          <w:tcPr>
            <w:tcW w:w="1418" w:type="dxa"/>
            <w:vAlign w:val="center"/>
          </w:tcPr>
          <w:p>
            <w:pPr>
              <w:snapToGrid w:val="0"/>
              <w:jc w:val="center"/>
              <w:rPr>
                <w:rFonts w:cs="Times New Roman"/>
                <w:sz w:val="21"/>
                <w:szCs w:val="21"/>
              </w:rPr>
            </w:pPr>
            <w:r>
              <w:rPr>
                <w:rFonts w:cs="Times New Roman"/>
                <w:sz w:val="21"/>
                <w:szCs w:val="21"/>
              </w:rPr>
              <w:t>25~35</w:t>
            </w:r>
          </w:p>
        </w:tc>
        <w:tc>
          <w:tcPr>
            <w:tcW w:w="4691" w:type="dxa"/>
            <w:vAlign w:val="center"/>
          </w:tcPr>
          <w:p>
            <w:pPr>
              <w:snapToGrid w:val="0"/>
              <w:jc w:val="both"/>
              <w:rPr>
                <w:rFonts w:cs="Times New Roman"/>
                <w:sz w:val="21"/>
                <w:szCs w:val="21"/>
              </w:rPr>
            </w:pPr>
            <w:r>
              <w:rPr>
                <w:rFonts w:cs="Times New Roman"/>
                <w:sz w:val="21"/>
                <w:szCs w:val="21"/>
              </w:rPr>
              <w:t>《泡沫塑料及橡胶 表观密度的测定》GB/T 6343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导热系数[W/(m·k)]</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0.030</w:t>
            </w:r>
          </w:p>
        </w:tc>
        <w:tc>
          <w:tcPr>
            <w:tcW w:w="4691" w:type="dxa"/>
            <w:vAlign w:val="center"/>
          </w:tcPr>
          <w:p>
            <w:pPr>
              <w:snapToGrid w:val="0"/>
              <w:jc w:val="both"/>
              <w:rPr>
                <w:rFonts w:cs="Times New Roman"/>
                <w:sz w:val="21"/>
                <w:szCs w:val="21"/>
              </w:rPr>
            </w:pPr>
            <w:r>
              <w:rPr>
                <w:rFonts w:cs="Times New Roman"/>
                <w:sz w:val="21"/>
                <w:szCs w:val="21"/>
              </w:rPr>
              <w:t>《绝热材料稳态热阻及有关特性的测定 防护热板法》GB/T 10294</w:t>
            </w:r>
          </w:p>
          <w:p>
            <w:pPr>
              <w:snapToGrid w:val="0"/>
              <w:jc w:val="both"/>
              <w:rPr>
                <w:rFonts w:cs="Times New Roman"/>
                <w:sz w:val="21"/>
                <w:szCs w:val="21"/>
              </w:rPr>
            </w:pPr>
            <w:r>
              <w:rPr>
                <w:rFonts w:cs="Times New Roman"/>
                <w:sz w:val="21"/>
                <w:szCs w:val="21"/>
              </w:rPr>
              <w:t>《绝热材料稳态热阻及有关特性的测定 热流计法》GB/T 10295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压缩强度（MPa）</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0.15</w:t>
            </w:r>
          </w:p>
        </w:tc>
        <w:tc>
          <w:tcPr>
            <w:tcW w:w="4691" w:type="dxa"/>
            <w:vAlign w:val="center"/>
          </w:tcPr>
          <w:p>
            <w:pPr>
              <w:snapToGrid w:val="0"/>
              <w:jc w:val="both"/>
              <w:rPr>
                <w:rFonts w:cs="Times New Roman"/>
                <w:sz w:val="21"/>
                <w:szCs w:val="21"/>
              </w:rPr>
            </w:pPr>
            <w:r>
              <w:rPr>
                <w:rFonts w:cs="Times New Roman"/>
                <w:sz w:val="21"/>
                <w:szCs w:val="21"/>
              </w:rPr>
              <w:t>《硬质泡沫塑料 压缩性能的测定》GB/T 8813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垂直于板面的抗拉强度（MPa）</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0.20</w:t>
            </w:r>
          </w:p>
        </w:tc>
        <w:tc>
          <w:tcPr>
            <w:tcW w:w="4691" w:type="dxa"/>
            <w:vAlign w:val="center"/>
          </w:tcPr>
          <w:p>
            <w:pPr>
              <w:snapToGrid w:val="0"/>
              <w:jc w:val="both"/>
              <w:rPr>
                <w:rFonts w:cs="Times New Roman"/>
                <w:sz w:val="21"/>
                <w:szCs w:val="21"/>
              </w:rPr>
            </w:pPr>
            <w:r>
              <w:rPr>
                <w:rFonts w:cs="Times New Roman"/>
                <w:sz w:val="21"/>
                <w:szCs w:val="21"/>
              </w:rPr>
              <w:t>《外墙外保温工程技术规程》JGJ 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尺寸稳定性（%）</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1.2</w:t>
            </w:r>
          </w:p>
        </w:tc>
        <w:tc>
          <w:tcPr>
            <w:tcW w:w="4691" w:type="dxa"/>
            <w:vAlign w:val="center"/>
          </w:tcPr>
          <w:p>
            <w:pPr>
              <w:snapToGrid w:val="0"/>
              <w:jc w:val="both"/>
              <w:rPr>
                <w:rFonts w:cs="Times New Roman"/>
                <w:sz w:val="21"/>
                <w:szCs w:val="21"/>
              </w:rPr>
            </w:pPr>
            <w:r>
              <w:rPr>
                <w:rFonts w:cs="Times New Roman"/>
                <w:sz w:val="21"/>
                <w:szCs w:val="21"/>
              </w:rPr>
              <w:t>《硬质泡沫塑料 尺寸稳定性试验方法》GB/T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吸水率（%）</w:t>
            </w:r>
          </w:p>
        </w:tc>
        <w:tc>
          <w:tcPr>
            <w:tcW w:w="1418" w:type="dxa"/>
            <w:vAlign w:val="center"/>
          </w:tcPr>
          <w:p>
            <w:pPr>
              <w:snapToGrid w:val="0"/>
              <w:jc w:val="center"/>
              <w:rPr>
                <w:rFonts w:cs="Times New Roman"/>
                <w:sz w:val="21"/>
                <w:szCs w:val="21"/>
              </w:rPr>
            </w:pPr>
            <w:r>
              <w:rPr>
                <w:rFonts w:hint="eastAsia" w:ascii="宋体" w:hAnsi="宋体" w:cs="宋体"/>
                <w:sz w:val="21"/>
                <w:szCs w:val="21"/>
              </w:rPr>
              <w:t>≤</w:t>
            </w:r>
            <w:r>
              <w:rPr>
                <w:rFonts w:cs="Times New Roman"/>
                <w:sz w:val="21"/>
                <w:szCs w:val="21"/>
              </w:rPr>
              <w:t>1.0</w:t>
            </w:r>
          </w:p>
        </w:tc>
        <w:tc>
          <w:tcPr>
            <w:tcW w:w="4691" w:type="dxa"/>
            <w:vAlign w:val="center"/>
          </w:tcPr>
          <w:p>
            <w:pPr>
              <w:snapToGrid w:val="0"/>
              <w:jc w:val="both"/>
              <w:rPr>
                <w:rFonts w:cs="Times New Roman"/>
                <w:sz w:val="21"/>
                <w:szCs w:val="21"/>
              </w:rPr>
            </w:pPr>
            <w:r>
              <w:rPr>
                <w:rFonts w:cs="Times New Roman"/>
                <w:sz w:val="21"/>
                <w:szCs w:val="21"/>
              </w:rPr>
              <w:t>《硬质泡沫塑料 吸水率规定》GB/T 8810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燃烧性能</w:t>
            </w:r>
          </w:p>
        </w:tc>
        <w:tc>
          <w:tcPr>
            <w:tcW w:w="1418" w:type="dxa"/>
            <w:vAlign w:val="center"/>
          </w:tcPr>
          <w:p>
            <w:pPr>
              <w:snapToGrid w:val="0"/>
              <w:jc w:val="center"/>
              <w:rPr>
                <w:rFonts w:cs="Times New Roman"/>
                <w:sz w:val="21"/>
                <w:szCs w:val="21"/>
              </w:rPr>
            </w:pPr>
            <w:r>
              <w:rPr>
                <w:rFonts w:cs="Times New Roman"/>
                <w:sz w:val="21"/>
                <w:szCs w:val="21"/>
              </w:rPr>
              <w:t>不低于B</w:t>
            </w:r>
            <w:r>
              <w:rPr>
                <w:rFonts w:cs="Times New Roman"/>
                <w:sz w:val="15"/>
                <w:szCs w:val="15"/>
              </w:rPr>
              <w:t>1</w:t>
            </w:r>
            <w:r>
              <w:rPr>
                <w:rFonts w:cs="Times New Roman"/>
                <w:sz w:val="21"/>
                <w:szCs w:val="21"/>
              </w:rPr>
              <w:t>级</w:t>
            </w:r>
          </w:p>
        </w:tc>
        <w:tc>
          <w:tcPr>
            <w:tcW w:w="4691" w:type="dxa"/>
            <w:vAlign w:val="center"/>
          </w:tcPr>
          <w:p>
            <w:pPr>
              <w:snapToGrid w:val="0"/>
              <w:jc w:val="both"/>
              <w:rPr>
                <w:rFonts w:cs="Times New Roman"/>
                <w:sz w:val="21"/>
                <w:szCs w:val="21"/>
              </w:rPr>
            </w:pPr>
            <w:r>
              <w:rPr>
                <w:rFonts w:cs="Times New Roman"/>
                <w:sz w:val="21"/>
                <w:szCs w:val="21"/>
              </w:rPr>
              <w:t>《建筑材料及制品燃烧性能分级》GB 8624</w:t>
            </w:r>
          </w:p>
        </w:tc>
      </w:tr>
    </w:tbl>
    <w:p>
      <w:pPr>
        <w:snapToGrid w:val="0"/>
        <w:ind w:firstLine="420" w:firstLineChars="200"/>
        <w:rPr>
          <w:rFonts w:ascii="楷体" w:hAnsi="楷体" w:eastAsia="楷体" w:cs="Times New Roman"/>
          <w:sz w:val="21"/>
          <w:szCs w:val="21"/>
        </w:rPr>
      </w:pPr>
    </w:p>
    <w:p>
      <w:pPr>
        <w:snapToGrid w:val="0"/>
        <w:rPr>
          <w:rFonts w:cs="Times New Roman"/>
        </w:rPr>
      </w:pPr>
      <w:r>
        <w:rPr>
          <w:rStyle w:val="22"/>
          <w:rFonts w:ascii="Times New Roman" w:hAnsi="Times New Roman" w:cs="Times New Roman"/>
        </w:rPr>
        <w:t>3.4.</w:t>
      </w:r>
      <w:r>
        <w:rPr>
          <w:rStyle w:val="22"/>
          <w:rFonts w:hint="eastAsia" w:ascii="Times New Roman" w:hAnsi="Times New Roman" w:cs="Times New Roman"/>
        </w:rPr>
        <w:t>4</w:t>
      </w:r>
      <w:r>
        <w:rPr>
          <w:rFonts w:cs="Times New Roman"/>
        </w:rPr>
        <w:t xml:space="preserve">  </w:t>
      </w:r>
      <w:r>
        <w:rPr>
          <w:rFonts w:hint="eastAsia"/>
        </w:rPr>
        <w:t>硬泡聚氨酯板</w:t>
      </w:r>
      <w:r>
        <w:rPr>
          <w:rFonts w:cs="Times New Roman"/>
        </w:rPr>
        <w:t>主要性能指标及其检测方法应符合表3.4.</w:t>
      </w:r>
      <w:r>
        <w:rPr>
          <w:rFonts w:hint="eastAsia" w:cs="Times New Roman"/>
        </w:rPr>
        <w:t>4</w:t>
      </w:r>
      <w:r>
        <w:rPr>
          <w:rFonts w:cs="Times New Roman"/>
        </w:rPr>
        <w:t>的规定。</w:t>
      </w:r>
    </w:p>
    <w:p>
      <w:pPr>
        <w:snapToGrid w:val="0"/>
        <w:jc w:val="center"/>
        <w:rPr>
          <w:rFonts w:cs="Times New Roman"/>
        </w:rPr>
      </w:pPr>
      <w:r>
        <w:rPr>
          <w:rFonts w:cs="Times New Roman"/>
          <w:b/>
          <w:bCs/>
          <w:sz w:val="20"/>
        </w:rPr>
        <w:t>表3.4.</w:t>
      </w:r>
      <w:r>
        <w:rPr>
          <w:rFonts w:hint="eastAsia" w:cs="Times New Roman"/>
          <w:b/>
          <w:bCs/>
          <w:sz w:val="20"/>
        </w:rPr>
        <w:t>4</w:t>
      </w:r>
      <w:r>
        <w:rPr>
          <w:rFonts w:cs="Times New Roman"/>
          <w:b/>
          <w:bCs/>
          <w:sz w:val="20"/>
        </w:rPr>
        <w:t xml:space="preserve"> </w:t>
      </w:r>
      <w:r>
        <w:rPr>
          <w:rFonts w:hint="eastAsia" w:cs="Times New Roman"/>
          <w:b/>
          <w:bCs/>
          <w:sz w:val="20"/>
        </w:rPr>
        <w:t>硬泡聚氨酯板</w:t>
      </w:r>
      <w:r>
        <w:rPr>
          <w:rFonts w:cs="Times New Roman"/>
          <w:b/>
          <w:bCs/>
          <w:sz w:val="20"/>
        </w:rPr>
        <w:t>主要性能指标及检测方法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1418"/>
        <w:gridCol w:w="4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项目</w:t>
            </w:r>
          </w:p>
        </w:tc>
        <w:tc>
          <w:tcPr>
            <w:tcW w:w="1418" w:type="dxa"/>
            <w:vAlign w:val="center"/>
          </w:tcPr>
          <w:p>
            <w:pPr>
              <w:snapToGrid w:val="0"/>
              <w:jc w:val="center"/>
              <w:rPr>
                <w:rFonts w:cs="Times New Roman"/>
                <w:sz w:val="21"/>
                <w:szCs w:val="21"/>
              </w:rPr>
            </w:pPr>
            <w:r>
              <w:rPr>
                <w:rFonts w:cs="Times New Roman"/>
                <w:sz w:val="21"/>
                <w:szCs w:val="21"/>
              </w:rPr>
              <w:t>性能指标</w:t>
            </w:r>
          </w:p>
        </w:tc>
        <w:tc>
          <w:tcPr>
            <w:tcW w:w="4691" w:type="dxa"/>
            <w:vAlign w:val="center"/>
          </w:tcPr>
          <w:p>
            <w:pPr>
              <w:snapToGrid w:val="0"/>
              <w:jc w:val="center"/>
              <w:rPr>
                <w:rFonts w:cs="Times New Roman"/>
                <w:sz w:val="21"/>
                <w:szCs w:val="21"/>
              </w:rPr>
            </w:pPr>
            <w:r>
              <w:rPr>
                <w:rFonts w:cs="Times New Roman"/>
                <w:sz w:val="21"/>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表观密度(kg/m³)</w:t>
            </w:r>
          </w:p>
        </w:tc>
        <w:tc>
          <w:tcPr>
            <w:tcW w:w="1418" w:type="dxa"/>
            <w:vAlign w:val="center"/>
          </w:tcPr>
          <w:p>
            <w:pPr>
              <w:snapToGrid w:val="0"/>
              <w:jc w:val="center"/>
              <w:rPr>
                <w:rFonts w:cs="Times New Roman"/>
                <w:sz w:val="21"/>
                <w:szCs w:val="21"/>
              </w:rPr>
            </w:pPr>
            <w:r>
              <w:rPr>
                <w:rFonts w:hint="eastAsia" w:cs="Times New Roman"/>
                <w:sz w:val="21"/>
                <w:szCs w:val="21"/>
              </w:rPr>
              <w:t>45~60</w:t>
            </w:r>
          </w:p>
        </w:tc>
        <w:tc>
          <w:tcPr>
            <w:tcW w:w="4691" w:type="dxa"/>
            <w:vAlign w:val="center"/>
          </w:tcPr>
          <w:p>
            <w:pPr>
              <w:snapToGrid w:val="0"/>
              <w:jc w:val="both"/>
              <w:rPr>
                <w:rFonts w:cs="Times New Roman"/>
                <w:sz w:val="21"/>
                <w:szCs w:val="21"/>
              </w:rPr>
            </w:pPr>
            <w:r>
              <w:rPr>
                <w:rFonts w:cs="Times New Roman"/>
                <w:sz w:val="21"/>
                <w:szCs w:val="21"/>
              </w:rPr>
              <w:t>《泡沫塑料及橡胶 表观密度的测定》GB/T 6343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导热系数[W/(m·k)]</w:t>
            </w:r>
          </w:p>
        </w:tc>
        <w:tc>
          <w:tcPr>
            <w:tcW w:w="1418" w:type="dxa"/>
            <w:vAlign w:val="center"/>
          </w:tcPr>
          <w:p>
            <w:pPr>
              <w:snapToGrid w:val="0"/>
              <w:jc w:val="center"/>
              <w:rPr>
                <w:rFonts w:cs="Times New Roman"/>
                <w:sz w:val="21"/>
                <w:szCs w:val="21"/>
              </w:rPr>
            </w:pPr>
            <w:r>
              <w:rPr>
                <w:rFonts w:hint="eastAsia" w:cs="Times New Roman"/>
                <w:sz w:val="21"/>
                <w:szCs w:val="21"/>
              </w:rPr>
              <w:t>≤0.024</w:t>
            </w:r>
          </w:p>
        </w:tc>
        <w:tc>
          <w:tcPr>
            <w:tcW w:w="4691" w:type="dxa"/>
            <w:vAlign w:val="center"/>
          </w:tcPr>
          <w:p>
            <w:pPr>
              <w:snapToGrid w:val="0"/>
              <w:jc w:val="both"/>
              <w:rPr>
                <w:rFonts w:cs="Times New Roman"/>
                <w:sz w:val="21"/>
                <w:szCs w:val="21"/>
              </w:rPr>
            </w:pPr>
            <w:r>
              <w:rPr>
                <w:rFonts w:cs="Times New Roman"/>
                <w:sz w:val="21"/>
                <w:szCs w:val="21"/>
              </w:rPr>
              <w:t>《绝热材料稳态热阻及有关特性的测定 防护热板法》GB/T 10294</w:t>
            </w:r>
          </w:p>
          <w:p>
            <w:pPr>
              <w:snapToGrid w:val="0"/>
              <w:jc w:val="both"/>
              <w:rPr>
                <w:rFonts w:cs="Times New Roman"/>
                <w:sz w:val="21"/>
                <w:szCs w:val="21"/>
              </w:rPr>
            </w:pPr>
            <w:r>
              <w:rPr>
                <w:rFonts w:cs="Times New Roman"/>
                <w:sz w:val="21"/>
                <w:szCs w:val="21"/>
              </w:rPr>
              <w:t>《绝热材料稳态热阻及有关特性的测定 热流计法》GB/T 10295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压缩强度（MPa）</w:t>
            </w:r>
          </w:p>
        </w:tc>
        <w:tc>
          <w:tcPr>
            <w:tcW w:w="1418" w:type="dxa"/>
            <w:vAlign w:val="center"/>
          </w:tcPr>
          <w:p>
            <w:pPr>
              <w:snapToGrid w:val="0"/>
              <w:jc w:val="center"/>
              <w:rPr>
                <w:rFonts w:cs="Times New Roman"/>
                <w:sz w:val="21"/>
                <w:szCs w:val="21"/>
              </w:rPr>
            </w:pPr>
            <w:r>
              <w:rPr>
                <w:rFonts w:hint="eastAsia" w:cs="Times New Roman"/>
                <w:sz w:val="21"/>
                <w:szCs w:val="21"/>
              </w:rPr>
              <w:t>≥0.15</w:t>
            </w:r>
          </w:p>
        </w:tc>
        <w:tc>
          <w:tcPr>
            <w:tcW w:w="4691" w:type="dxa"/>
            <w:vAlign w:val="center"/>
          </w:tcPr>
          <w:p>
            <w:pPr>
              <w:snapToGrid w:val="0"/>
              <w:jc w:val="both"/>
              <w:rPr>
                <w:rFonts w:cs="Times New Roman"/>
                <w:sz w:val="21"/>
                <w:szCs w:val="21"/>
              </w:rPr>
            </w:pPr>
            <w:r>
              <w:rPr>
                <w:rFonts w:cs="Times New Roman"/>
                <w:sz w:val="21"/>
                <w:szCs w:val="21"/>
              </w:rPr>
              <w:t>《硬质泡沫塑料 压缩性能的测定》GB/T 8813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垂直于板面的抗拉强度（MPa）</w:t>
            </w:r>
          </w:p>
        </w:tc>
        <w:tc>
          <w:tcPr>
            <w:tcW w:w="1418" w:type="dxa"/>
            <w:vAlign w:val="center"/>
          </w:tcPr>
          <w:p>
            <w:pPr>
              <w:snapToGrid w:val="0"/>
              <w:jc w:val="center"/>
              <w:rPr>
                <w:rFonts w:cs="Times New Roman"/>
                <w:sz w:val="21"/>
                <w:szCs w:val="21"/>
              </w:rPr>
            </w:pPr>
            <w:r>
              <w:rPr>
                <w:rFonts w:hint="eastAsia" w:cs="Times New Roman"/>
                <w:sz w:val="21"/>
                <w:szCs w:val="21"/>
              </w:rPr>
              <w:t>≥0.10</w:t>
            </w:r>
          </w:p>
        </w:tc>
        <w:tc>
          <w:tcPr>
            <w:tcW w:w="4691" w:type="dxa"/>
            <w:vAlign w:val="center"/>
          </w:tcPr>
          <w:p>
            <w:pPr>
              <w:snapToGrid w:val="0"/>
              <w:jc w:val="both"/>
              <w:rPr>
                <w:rFonts w:cs="Times New Roman"/>
                <w:sz w:val="21"/>
                <w:szCs w:val="21"/>
              </w:rPr>
            </w:pPr>
            <w:r>
              <w:rPr>
                <w:rFonts w:cs="Times New Roman"/>
                <w:sz w:val="21"/>
                <w:szCs w:val="21"/>
              </w:rPr>
              <w:t>《外墙外保温工程技术规程》JGJ 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尺寸稳定性（%）</w:t>
            </w:r>
          </w:p>
        </w:tc>
        <w:tc>
          <w:tcPr>
            <w:tcW w:w="1418" w:type="dxa"/>
            <w:vAlign w:val="center"/>
          </w:tcPr>
          <w:p>
            <w:pPr>
              <w:snapToGrid w:val="0"/>
              <w:jc w:val="center"/>
              <w:rPr>
                <w:rFonts w:cs="Times New Roman"/>
                <w:sz w:val="21"/>
                <w:szCs w:val="21"/>
              </w:rPr>
            </w:pPr>
            <w:r>
              <w:rPr>
                <w:rFonts w:hint="eastAsia" w:cs="Times New Roman"/>
                <w:sz w:val="21"/>
                <w:szCs w:val="21"/>
              </w:rPr>
              <w:t>≤1.0</w:t>
            </w:r>
          </w:p>
        </w:tc>
        <w:tc>
          <w:tcPr>
            <w:tcW w:w="4691" w:type="dxa"/>
            <w:vAlign w:val="center"/>
          </w:tcPr>
          <w:p>
            <w:pPr>
              <w:snapToGrid w:val="0"/>
              <w:jc w:val="both"/>
              <w:rPr>
                <w:rFonts w:cs="Times New Roman"/>
                <w:sz w:val="21"/>
                <w:szCs w:val="21"/>
              </w:rPr>
            </w:pPr>
            <w:r>
              <w:rPr>
                <w:rFonts w:cs="Times New Roman"/>
                <w:sz w:val="21"/>
                <w:szCs w:val="21"/>
              </w:rPr>
              <w:t>《硬质泡沫塑料 尺寸稳定性试验方法》GB/T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吸水率（%）</w:t>
            </w:r>
          </w:p>
        </w:tc>
        <w:tc>
          <w:tcPr>
            <w:tcW w:w="1418" w:type="dxa"/>
            <w:vAlign w:val="center"/>
          </w:tcPr>
          <w:p>
            <w:pPr>
              <w:snapToGrid w:val="0"/>
              <w:jc w:val="center"/>
              <w:rPr>
                <w:rFonts w:cs="Times New Roman"/>
                <w:sz w:val="21"/>
                <w:szCs w:val="21"/>
              </w:rPr>
            </w:pPr>
            <w:r>
              <w:rPr>
                <w:rFonts w:hint="eastAsia" w:cs="Times New Roman"/>
                <w:sz w:val="21"/>
                <w:szCs w:val="21"/>
              </w:rPr>
              <w:t>≤3</w:t>
            </w:r>
          </w:p>
        </w:tc>
        <w:tc>
          <w:tcPr>
            <w:tcW w:w="4691" w:type="dxa"/>
            <w:vAlign w:val="center"/>
          </w:tcPr>
          <w:p>
            <w:pPr>
              <w:snapToGrid w:val="0"/>
              <w:jc w:val="both"/>
              <w:rPr>
                <w:rFonts w:cs="Times New Roman"/>
                <w:sz w:val="21"/>
                <w:szCs w:val="21"/>
              </w:rPr>
            </w:pPr>
            <w:r>
              <w:rPr>
                <w:rFonts w:cs="Times New Roman"/>
                <w:sz w:val="21"/>
                <w:szCs w:val="21"/>
              </w:rPr>
              <w:t>《硬质泡沫塑料 吸水率规定》GB/T 8810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snapToGrid w:val="0"/>
              <w:jc w:val="center"/>
              <w:rPr>
                <w:rFonts w:cs="Times New Roman"/>
                <w:sz w:val="21"/>
                <w:szCs w:val="21"/>
              </w:rPr>
            </w:pPr>
            <w:r>
              <w:rPr>
                <w:rFonts w:cs="Times New Roman"/>
                <w:sz w:val="21"/>
                <w:szCs w:val="21"/>
              </w:rPr>
              <w:t>燃烧性能</w:t>
            </w:r>
          </w:p>
        </w:tc>
        <w:tc>
          <w:tcPr>
            <w:tcW w:w="1418" w:type="dxa"/>
            <w:vAlign w:val="center"/>
          </w:tcPr>
          <w:p>
            <w:pPr>
              <w:snapToGrid w:val="0"/>
              <w:jc w:val="center"/>
              <w:rPr>
                <w:rFonts w:cs="Times New Roman"/>
                <w:sz w:val="21"/>
                <w:szCs w:val="21"/>
              </w:rPr>
            </w:pPr>
            <w:r>
              <w:rPr>
                <w:rFonts w:hint="eastAsia" w:cs="Times New Roman"/>
                <w:sz w:val="21"/>
                <w:szCs w:val="21"/>
              </w:rPr>
              <w:t>不低于B</w:t>
            </w:r>
            <w:r>
              <w:rPr>
                <w:rFonts w:hint="eastAsia" w:cs="Times New Roman"/>
                <w:sz w:val="15"/>
                <w:szCs w:val="15"/>
              </w:rPr>
              <w:t>1</w:t>
            </w:r>
            <w:r>
              <w:rPr>
                <w:rFonts w:hint="eastAsia" w:cs="Times New Roman"/>
                <w:sz w:val="21"/>
                <w:szCs w:val="21"/>
              </w:rPr>
              <w:t>级</w:t>
            </w:r>
          </w:p>
        </w:tc>
        <w:tc>
          <w:tcPr>
            <w:tcW w:w="4691" w:type="dxa"/>
            <w:vAlign w:val="center"/>
          </w:tcPr>
          <w:p>
            <w:pPr>
              <w:snapToGrid w:val="0"/>
              <w:jc w:val="both"/>
              <w:rPr>
                <w:rFonts w:cs="Times New Roman"/>
                <w:sz w:val="21"/>
                <w:szCs w:val="21"/>
              </w:rPr>
            </w:pPr>
            <w:r>
              <w:rPr>
                <w:rFonts w:cs="Times New Roman"/>
                <w:sz w:val="21"/>
                <w:szCs w:val="21"/>
              </w:rPr>
              <w:t>《建筑材料及制品燃烧性能分级》GB 8624</w:t>
            </w:r>
          </w:p>
        </w:tc>
      </w:tr>
    </w:tbl>
    <w:p>
      <w:pPr>
        <w:snapToGrid w:val="0"/>
        <w:rPr>
          <w:rStyle w:val="22"/>
          <w:rFonts w:ascii="Times New Roman" w:hAnsi="Times New Roman" w:cs="Times New Roman"/>
        </w:rPr>
      </w:pPr>
    </w:p>
    <w:p>
      <w:pPr>
        <w:snapToGrid w:val="0"/>
        <w:rPr>
          <w:rStyle w:val="22"/>
          <w:rFonts w:ascii="Times New Roman" w:hAnsi="Times New Roman" w:cs="Times New Roman"/>
          <w:b w:val="0"/>
        </w:rPr>
      </w:pPr>
      <w:r>
        <w:rPr>
          <w:rStyle w:val="22"/>
          <w:rFonts w:hint="eastAsia" w:ascii="Times New Roman" w:hAnsi="Times New Roman" w:cs="Times New Roman"/>
        </w:rPr>
        <w:t>3.4.5 </w:t>
      </w:r>
      <w:r>
        <w:rPr>
          <w:rStyle w:val="22"/>
          <w:rFonts w:hint="eastAsia" w:ascii="Times New Roman" w:hAnsi="Times New Roman" w:cs="Times New Roman"/>
          <w:b w:val="0"/>
        </w:rPr>
        <w:t>模塑聚苯板使用前</w:t>
      </w:r>
      <w:r>
        <w:rPr>
          <w:rStyle w:val="22"/>
          <w:rFonts w:ascii="Times New Roman" w:hAnsi="Times New Roman" w:cs="Times New Roman"/>
          <w:b w:val="0"/>
        </w:rPr>
        <w:t>应在自然条件下陈化时间不少于42d或在</w:t>
      </w:r>
      <w:r>
        <w:rPr>
          <w:rStyle w:val="22"/>
          <w:rFonts w:hint="eastAsia" w:ascii="Times New Roman" w:hAnsi="Times New Roman" w:cs="Times New Roman"/>
          <w:b w:val="0"/>
        </w:rPr>
        <w:t>(</w:t>
      </w:r>
      <w:r>
        <w:rPr>
          <w:rStyle w:val="22"/>
          <w:rFonts w:ascii="Times New Roman" w:hAnsi="Times New Roman" w:cs="Times New Roman"/>
          <w:b w:val="0"/>
        </w:rPr>
        <w:t>60±5)℃环境中陈化时间不少于5d；</w:t>
      </w:r>
      <w:r>
        <w:rPr>
          <w:rStyle w:val="22"/>
          <w:rFonts w:hint="eastAsia" w:ascii="Times New Roman" w:hAnsi="Times New Roman" w:cs="Times New Roman"/>
          <w:b w:val="0"/>
        </w:rPr>
        <w:t>挤塑聚苯板使用前应在自然条件下陈化不少于28d</w:t>
      </w:r>
      <w:r>
        <w:rPr>
          <w:rStyle w:val="22"/>
          <w:rFonts w:ascii="Times New Roman" w:hAnsi="Times New Roman" w:cs="Times New Roman"/>
          <w:b w:val="0"/>
        </w:rPr>
        <w:t>。</w:t>
      </w:r>
    </w:p>
    <w:p>
      <w:pPr>
        <w:snapToGrid w:val="0"/>
        <w:rPr>
          <w:rFonts w:cs="Times New Roman"/>
        </w:rPr>
      </w:pPr>
      <w:r>
        <w:rPr>
          <w:rStyle w:val="22"/>
          <w:rFonts w:ascii="Times New Roman" w:hAnsi="Times New Roman" w:cs="Times New Roman"/>
        </w:rPr>
        <w:t>3.4.</w:t>
      </w:r>
      <w:r>
        <w:rPr>
          <w:rStyle w:val="22"/>
          <w:rFonts w:hint="eastAsia" w:ascii="Times New Roman" w:hAnsi="Times New Roman" w:cs="Times New Roman"/>
        </w:rPr>
        <w:t>6</w:t>
      </w:r>
      <w:r>
        <w:rPr>
          <w:rFonts w:cs="Times New Roman"/>
        </w:rPr>
        <w:t xml:space="preserve">  装配式复合轻质墙体选用其他种类的保温板时，其性能指标应符合国家现行相关标准的规定；当无相关标准时，应通过试验确认其适用性，并确定相关性能指标。</w:t>
      </w:r>
    </w:p>
    <w:p>
      <w:pPr>
        <w:snapToGrid w:val="0"/>
        <w:rPr>
          <w:rFonts w:cs="Times New Roman"/>
        </w:rPr>
      </w:pPr>
    </w:p>
    <w:p>
      <w:pPr>
        <w:pStyle w:val="4"/>
        <w:snapToGrid w:val="0"/>
        <w:spacing w:before="0" w:after="0" w:line="360" w:lineRule="auto"/>
        <w:rPr>
          <w:rFonts w:cs="宋体"/>
        </w:rPr>
      </w:pPr>
      <w:bookmarkStart w:id="47" w:name="_Toc12291"/>
      <w:bookmarkStart w:id="48" w:name="_Toc24836"/>
      <w:bookmarkStart w:id="49" w:name="_Toc27681"/>
      <w:bookmarkStart w:id="50" w:name="_Toc2251"/>
      <w:bookmarkStart w:id="51" w:name="_Toc18885"/>
      <w:bookmarkStart w:id="52" w:name="_Toc15792"/>
      <w:r>
        <w:rPr>
          <w:rFonts w:hint="eastAsia" w:ascii="Times New Roman" w:hAnsi="Times New Roman" w:cs="Times New Roman"/>
        </w:rPr>
        <w:t xml:space="preserve">3.5   </w:t>
      </w:r>
      <w:r>
        <w:rPr>
          <w:rFonts w:hint="eastAsia"/>
        </w:rPr>
        <w:t>钢</w:t>
      </w:r>
      <w:bookmarkEnd w:id="47"/>
      <w:r>
        <w:rPr>
          <w:rFonts w:hint="eastAsia"/>
        </w:rPr>
        <w:t>丝</w:t>
      </w:r>
      <w:bookmarkEnd w:id="48"/>
    </w:p>
    <w:p>
      <w:pPr>
        <w:snapToGrid w:val="0"/>
      </w:pPr>
      <w:r>
        <w:rPr>
          <w:rStyle w:val="22"/>
          <w:rFonts w:hint="eastAsia" w:ascii="Times New Roman" w:hAnsi="Times New Roman" w:cs="Times New Roman"/>
        </w:rPr>
        <w:t>3.5.1</w:t>
      </w:r>
      <w:r>
        <w:rPr>
          <w:rStyle w:val="22"/>
          <w:rFonts w:hint="eastAsia" w:cs="宋体"/>
        </w:rPr>
        <w:t xml:space="preserve"> </w:t>
      </w:r>
      <w:r>
        <w:rPr>
          <w:rFonts w:hint="eastAsia"/>
        </w:rPr>
        <w:t>墙面板中配筋宜为直径3~4mm的冷拔钢丝，其性能应符合现行行业标准《冷拔低碳钢丝应用技术规程》JGJ 19的相关规定。</w:t>
      </w:r>
    </w:p>
    <w:p>
      <w:pPr>
        <w:snapToGrid w:val="0"/>
      </w:pPr>
      <w:r>
        <w:rPr>
          <w:rStyle w:val="22"/>
          <w:rFonts w:hint="eastAsia" w:ascii="Times New Roman" w:hAnsi="Times New Roman" w:cs="Times New Roman"/>
        </w:rPr>
        <w:t xml:space="preserve">3.5.2 </w:t>
      </w:r>
      <w:r>
        <w:rPr>
          <w:rFonts w:hint="eastAsia"/>
        </w:rPr>
        <w:t>钢丝通过焊接构成钢丝网架。焊接应可靠，焊点应无过烧现象，不得漏焊、脱焊。焊接质量应满足现行行业标准《钢筋焊接网混凝土结构技术规程》JGJ 114的规定。</w:t>
      </w:r>
    </w:p>
    <w:p>
      <w:pPr>
        <w:snapToGrid w:val="0"/>
      </w:pPr>
    </w:p>
    <w:p>
      <w:pPr>
        <w:pStyle w:val="4"/>
        <w:snapToGrid w:val="0"/>
        <w:spacing w:before="0" w:after="0" w:line="360" w:lineRule="auto"/>
        <w:rPr>
          <w:rFonts w:ascii="Times New Roman" w:hAnsi="Times New Roman" w:cs="Times New Roman"/>
        </w:rPr>
      </w:pPr>
      <w:bookmarkStart w:id="53" w:name="_Toc8396"/>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  连接材料</w:t>
      </w:r>
      <w:bookmarkEnd w:id="49"/>
      <w:bookmarkEnd w:id="50"/>
      <w:bookmarkEnd w:id="51"/>
      <w:bookmarkEnd w:id="52"/>
      <w:bookmarkEnd w:id="53"/>
    </w:p>
    <w:p>
      <w:pPr>
        <w:snapToGrid w:val="0"/>
        <w:rPr>
          <w:rFonts w:cs="Times New Roman"/>
        </w:rPr>
      </w:pPr>
      <w:r>
        <w:rPr>
          <w:rStyle w:val="22"/>
          <w:rFonts w:ascii="Times New Roman" w:hAnsi="Times New Roman" w:cs="Times New Roman"/>
        </w:rPr>
        <w:t>3.</w:t>
      </w:r>
      <w:r>
        <w:rPr>
          <w:rStyle w:val="22"/>
          <w:rFonts w:hint="eastAsia" w:ascii="Times New Roman" w:hAnsi="Times New Roman" w:cs="Times New Roman"/>
        </w:rPr>
        <w:t>6</w:t>
      </w:r>
      <w:r>
        <w:rPr>
          <w:rStyle w:val="22"/>
          <w:rFonts w:ascii="Times New Roman" w:hAnsi="Times New Roman" w:cs="Times New Roman"/>
        </w:rPr>
        <w:t>.1</w:t>
      </w:r>
      <w:r>
        <w:rPr>
          <w:rFonts w:cs="Times New Roman"/>
        </w:rPr>
        <w:t> 装配式复合轻质墙体用连接件应满足强度和刚度要求，并应符合下列规定：</w:t>
      </w:r>
    </w:p>
    <w:p>
      <w:pPr>
        <w:snapToGrid w:val="0"/>
        <w:ind w:firstLine="482" w:firstLineChars="200"/>
        <w:rPr>
          <w:rFonts w:cs="Times New Roman"/>
        </w:rPr>
      </w:pPr>
      <w:r>
        <w:rPr>
          <w:rFonts w:cs="Times New Roman"/>
          <w:b/>
          <w:bCs/>
        </w:rPr>
        <w:t xml:space="preserve">1  </w:t>
      </w:r>
      <w:r>
        <w:rPr>
          <w:rFonts w:cs="Times New Roman"/>
        </w:rPr>
        <w:t>连接件所用的薄壁型钢带及钢板，</w:t>
      </w:r>
      <w:r>
        <w:rPr>
          <w:rFonts w:hint="eastAsia" w:ascii="宋体" w:hAnsi="宋体" w:cs="宋体"/>
        </w:rPr>
        <w:t>应采用符合现行国家标准《连续热镀锌</w:t>
      </w:r>
      <w:r>
        <w:t>和锌合金镀层</w:t>
      </w:r>
      <w:r>
        <w:rPr>
          <w:rFonts w:hint="eastAsia" w:ascii="宋体" w:hAnsi="宋体" w:cs="宋体"/>
        </w:rPr>
        <w:t>钢板及钢带》</w:t>
      </w:r>
      <w:r>
        <w:rPr>
          <w:rFonts w:hint="eastAsia"/>
        </w:rPr>
        <w:t>GB/T 2518</w:t>
      </w:r>
      <w:r>
        <w:rPr>
          <w:rFonts w:cs="Times New Roman"/>
        </w:rPr>
        <w:t>规定的钢材。</w:t>
      </w:r>
    </w:p>
    <w:p>
      <w:pPr>
        <w:snapToGrid w:val="0"/>
        <w:ind w:firstLine="482" w:firstLineChars="200"/>
        <w:rPr>
          <w:rFonts w:cs="Times New Roman"/>
        </w:rPr>
      </w:pPr>
      <w:r>
        <w:rPr>
          <w:rFonts w:cs="Times New Roman"/>
          <w:b/>
          <w:bCs/>
        </w:rPr>
        <w:t>2</w:t>
      </w:r>
      <w:r>
        <w:rPr>
          <w:rFonts w:cs="Times New Roman"/>
        </w:rPr>
        <w:t xml:space="preserve">  </w:t>
      </w:r>
      <w:r>
        <w:rPr>
          <w:rFonts w:hint="eastAsia" w:cs="Times New Roman"/>
        </w:rPr>
        <w:t>连接件板厚度不应低于2.0</w:t>
      </w:r>
      <w:r>
        <w:rPr>
          <w:rFonts w:cs="Times New Roman"/>
        </w:rPr>
        <w:t>mm</w:t>
      </w:r>
      <w:r>
        <w:rPr>
          <w:rFonts w:hint="eastAsia" w:cs="Times New Roman"/>
        </w:rPr>
        <w:t>。</w:t>
      </w:r>
    </w:p>
    <w:p>
      <w:pPr>
        <w:snapToGrid w:val="0"/>
        <w:ind w:firstLine="482" w:firstLineChars="200"/>
        <w:rPr>
          <w:rFonts w:cs="Times New Roman"/>
        </w:rPr>
      </w:pPr>
      <w:r>
        <w:rPr>
          <w:rFonts w:cs="Times New Roman"/>
          <w:b/>
          <w:bCs/>
        </w:rPr>
        <w:t>3</w:t>
      </w:r>
      <w:r>
        <w:rPr>
          <w:rFonts w:cs="Times New Roman"/>
        </w:rPr>
        <w:t xml:space="preserve">  </w:t>
      </w:r>
      <w:r>
        <w:rPr>
          <w:rFonts w:hint="eastAsia" w:cs="Times New Roman"/>
        </w:rPr>
        <w:t>连接件表面</w:t>
      </w:r>
      <w:r>
        <w:rPr>
          <w:rFonts w:cs="Times New Roman"/>
        </w:rPr>
        <w:t>热镀锌量一般不小于</w:t>
      </w:r>
      <w:r>
        <w:rPr>
          <w:rFonts w:hint="eastAsia" w:cs="Times New Roman"/>
        </w:rPr>
        <w:t>250</w:t>
      </w:r>
      <w:r>
        <w:rPr>
          <w:rFonts w:cs="Times New Roman"/>
        </w:rPr>
        <w:t>g/㎡，并应满足现行国家或行业标准的规定。</w:t>
      </w:r>
    </w:p>
    <w:p>
      <w:pPr>
        <w:snapToGrid w:val="0"/>
        <w:rPr>
          <w:rFonts w:cs="Times New Roman"/>
        </w:rPr>
      </w:pPr>
      <w:r>
        <w:rPr>
          <w:rStyle w:val="22"/>
          <w:rFonts w:ascii="Times New Roman" w:hAnsi="Times New Roman" w:cs="Times New Roman"/>
        </w:rPr>
        <w:t>3.</w:t>
      </w:r>
      <w:r>
        <w:rPr>
          <w:rStyle w:val="22"/>
          <w:rFonts w:hint="eastAsia" w:ascii="Times New Roman" w:hAnsi="Times New Roman" w:cs="Times New Roman"/>
        </w:rPr>
        <w:t>6</w:t>
      </w:r>
      <w:r>
        <w:rPr>
          <w:rStyle w:val="22"/>
          <w:rFonts w:ascii="Times New Roman" w:hAnsi="Times New Roman" w:cs="Times New Roman"/>
        </w:rPr>
        <w:t>.2</w:t>
      </w:r>
      <w:r>
        <w:rPr>
          <w:rFonts w:cs="Times New Roman"/>
        </w:rPr>
        <w:t xml:space="preserve">  螺栓及锚栓</w:t>
      </w:r>
      <w:r>
        <w:rPr>
          <w:rFonts w:hint="eastAsia" w:ascii="宋体" w:hAnsi="宋体" w:cs="宋体"/>
        </w:rPr>
        <w:t>性能等级不应小于</w:t>
      </w:r>
      <w:r>
        <w:rPr>
          <w:rFonts w:cs="Times New Roman"/>
        </w:rPr>
        <w:t>8.8</w:t>
      </w:r>
      <w:r>
        <w:rPr>
          <w:rFonts w:hint="eastAsia" w:ascii="宋体" w:hAnsi="宋体" w:cs="宋体"/>
        </w:rPr>
        <w:t>级，并</w:t>
      </w:r>
      <w:r>
        <w:rPr>
          <w:rFonts w:cs="Times New Roman"/>
        </w:rPr>
        <w:t>应符合下列规定：</w:t>
      </w:r>
    </w:p>
    <w:p>
      <w:pPr>
        <w:snapToGrid w:val="0"/>
        <w:ind w:firstLine="480"/>
        <w:rPr>
          <w:rFonts w:cs="Times New Roman"/>
        </w:rPr>
      </w:pPr>
      <w:r>
        <w:rPr>
          <w:rFonts w:cs="Times New Roman"/>
          <w:b/>
          <w:bCs/>
        </w:rPr>
        <w:t>1</w:t>
      </w:r>
      <w:r>
        <w:rPr>
          <w:rFonts w:cs="Times New Roman"/>
        </w:rPr>
        <w:t xml:space="preserve">  普通螺栓应符合现行国家标准《六角头螺栓C级》GB</w:t>
      </w:r>
      <w:r>
        <w:rPr>
          <w:rFonts w:hint="eastAsia" w:cs="Times New Roman"/>
        </w:rPr>
        <w:t>/</w:t>
      </w:r>
      <w:r>
        <w:rPr>
          <w:rFonts w:cs="Times New Roman"/>
        </w:rPr>
        <w:t>T</w:t>
      </w:r>
      <w:r>
        <w:rPr>
          <w:rFonts w:hint="eastAsia" w:cs="Times New Roman"/>
        </w:rPr>
        <w:t xml:space="preserve"> </w:t>
      </w:r>
      <w:r>
        <w:rPr>
          <w:rFonts w:cs="Times New Roman"/>
        </w:rPr>
        <w:t>5780的规定，其机械性能应符合现行国家标准《紧固件机械性能螺栓、螺钉和螺柱》GB</w:t>
      </w:r>
      <w:r>
        <w:rPr>
          <w:rFonts w:hint="eastAsia" w:cs="Times New Roman"/>
        </w:rPr>
        <w:t>/</w:t>
      </w:r>
      <w:r>
        <w:rPr>
          <w:rFonts w:cs="Times New Roman"/>
        </w:rPr>
        <w:t>T</w:t>
      </w:r>
      <w:r>
        <w:rPr>
          <w:rFonts w:hint="eastAsia" w:cs="Times New Roman"/>
        </w:rPr>
        <w:t xml:space="preserve"> </w:t>
      </w:r>
      <w:r>
        <w:rPr>
          <w:rFonts w:cs="Times New Roman"/>
        </w:rPr>
        <w:t>3098.1的规定；</w:t>
      </w:r>
    </w:p>
    <w:p>
      <w:pPr>
        <w:ind w:firstLine="482" w:firstLineChars="200"/>
      </w:pPr>
      <w:r>
        <w:rPr>
          <w:rFonts w:cs="Times New Roman"/>
          <w:b/>
          <w:bCs/>
        </w:rPr>
        <w:t>2</w:t>
      </w:r>
      <w:r>
        <w:rPr>
          <w:rFonts w:cs="Times New Roman"/>
        </w:rPr>
        <w:t xml:space="preserve">  锚栓应符合现行行业标准</w:t>
      </w:r>
      <w:r>
        <w:rPr>
          <w:rFonts w:hint="eastAsia"/>
        </w:rPr>
        <w:t>《混凝土用机械锚栓》JG/T 160</w:t>
      </w:r>
    </w:p>
    <w:p>
      <w:pPr>
        <w:snapToGrid w:val="0"/>
        <w:ind w:firstLine="480"/>
        <w:rPr>
          <w:rFonts w:cs="Times New Roman"/>
        </w:rPr>
      </w:pPr>
      <w:r>
        <w:rPr>
          <w:rFonts w:cs="Times New Roman"/>
        </w:rPr>
        <w:t>的规定。锚栓宜采用特殊倒锥形化学锚栓，其设置和验收应符合现行行业标准《混凝土结构后锚固技术规程》JGJ 145的相关规定。</w:t>
      </w:r>
    </w:p>
    <w:p>
      <w:pPr>
        <w:snapToGrid w:val="0"/>
        <w:rPr>
          <w:rFonts w:cs="Times New Roman"/>
        </w:rPr>
      </w:pPr>
      <w:r>
        <w:rPr>
          <w:rStyle w:val="22"/>
          <w:rFonts w:ascii="Times New Roman" w:hAnsi="Times New Roman" w:cs="Times New Roman"/>
        </w:rPr>
        <w:t>3.</w:t>
      </w:r>
      <w:r>
        <w:rPr>
          <w:rStyle w:val="22"/>
          <w:rFonts w:hint="eastAsia" w:ascii="Times New Roman" w:hAnsi="Times New Roman" w:cs="Times New Roman"/>
        </w:rPr>
        <w:t>6</w:t>
      </w:r>
      <w:r>
        <w:rPr>
          <w:rStyle w:val="22"/>
          <w:rFonts w:ascii="Times New Roman" w:hAnsi="Times New Roman" w:cs="Times New Roman"/>
        </w:rPr>
        <w:t>.3</w:t>
      </w:r>
      <w:r>
        <w:rPr>
          <w:rFonts w:cs="Times New Roman"/>
        </w:rPr>
        <w:t xml:space="preserve">  </w:t>
      </w:r>
      <w:r>
        <w:rPr>
          <w:rFonts w:hint="eastAsia" w:ascii="宋体" w:hAnsi="宋体" w:cs="宋体"/>
        </w:rPr>
        <w:t>自攻螺钉应符合现行国家标准</w:t>
      </w:r>
      <w:r>
        <w:rPr>
          <w:rFonts w:hint="eastAsia"/>
        </w:rPr>
        <w:t>《十字槽盘头自钻自攻螺钉》GB/T 15856.1、《十字槽沉头自钻自攻螺钉》GB/T 15856.2、《十字槽半沉头自钻自攻螺钉》GB/T 15856.3、《六角法兰面自钻自攻螺钉》GB/T 15856.4、《六角凸缘自钻自攻螺钉》GB/T 15856.5</w:t>
      </w:r>
      <w:r>
        <w:rPr>
          <w:rFonts w:hint="eastAsia" w:ascii="宋体" w:hAnsi="宋体" w:cs="宋体"/>
        </w:rPr>
        <w:t>或</w:t>
      </w:r>
      <w:r>
        <w:rPr>
          <w:rFonts w:hint="eastAsia"/>
        </w:rPr>
        <w:t>《开槽盘头自攻螺钉》GB/T 5282、《开槽沉头自攻螺钉》GB/T 5283、《开槽半沉头自攻螺钉》GB/T 5284、《六角头自攻螺钉》GB/T 5285</w:t>
      </w:r>
      <w:r>
        <w:rPr>
          <w:rFonts w:hint="eastAsia" w:ascii="宋体" w:hAnsi="宋体" w:cs="宋体"/>
        </w:rPr>
        <w:t>的规定</w:t>
      </w:r>
      <w:r>
        <w:rPr>
          <w:rFonts w:cs="Times New Roman"/>
        </w:rPr>
        <w:t>。</w:t>
      </w:r>
    </w:p>
    <w:p>
      <w:pPr>
        <w:snapToGrid w:val="0"/>
        <w:rPr>
          <w:rFonts w:cs="Times New Roman"/>
        </w:rPr>
      </w:pPr>
      <w:r>
        <w:rPr>
          <w:rStyle w:val="22"/>
          <w:rFonts w:ascii="Times New Roman" w:hAnsi="Times New Roman" w:cs="Times New Roman"/>
        </w:rPr>
        <w:t>3.</w:t>
      </w:r>
      <w:r>
        <w:rPr>
          <w:rStyle w:val="22"/>
          <w:rFonts w:hint="eastAsia" w:ascii="Times New Roman" w:hAnsi="Times New Roman" w:cs="Times New Roman"/>
        </w:rPr>
        <w:t>6</w:t>
      </w:r>
      <w:r>
        <w:rPr>
          <w:rStyle w:val="22"/>
          <w:rFonts w:ascii="Times New Roman" w:hAnsi="Times New Roman" w:cs="Times New Roman"/>
        </w:rPr>
        <w:t>.4</w:t>
      </w:r>
      <w:r>
        <w:rPr>
          <w:rFonts w:cs="Times New Roman"/>
        </w:rPr>
        <w:t xml:space="preserve">  射钉表面应镀锌、钝化,其性能应符合现行国家标准《射钉》</w:t>
      </w:r>
      <w:r>
        <w:rPr>
          <w:rFonts w:hint="eastAsia" w:cs="Times New Roman"/>
        </w:rPr>
        <w:t>G</w:t>
      </w:r>
      <w:r>
        <w:rPr>
          <w:rFonts w:cs="Times New Roman"/>
        </w:rPr>
        <w:t>B/T 18981的有关规定。</w:t>
      </w:r>
      <w:bookmarkStart w:id="54" w:name="_Toc19594"/>
      <w:bookmarkStart w:id="55" w:name="_Toc23828"/>
    </w:p>
    <w:p>
      <w:pPr>
        <w:snapToGrid w:val="0"/>
        <w:rPr>
          <w:rFonts w:cs="Times New Roman"/>
        </w:rPr>
      </w:pPr>
      <w:r>
        <w:rPr>
          <w:rStyle w:val="22"/>
          <w:rFonts w:ascii="Times New Roman" w:hAnsi="Times New Roman" w:cs="Times New Roman"/>
        </w:rPr>
        <w:t>3.</w:t>
      </w:r>
      <w:r>
        <w:rPr>
          <w:rStyle w:val="22"/>
          <w:rFonts w:hint="eastAsia" w:ascii="Times New Roman" w:hAnsi="Times New Roman" w:cs="Times New Roman"/>
        </w:rPr>
        <w:t>6</w:t>
      </w:r>
      <w:r>
        <w:rPr>
          <w:rStyle w:val="22"/>
          <w:rFonts w:ascii="Times New Roman" w:hAnsi="Times New Roman" w:cs="Times New Roman"/>
        </w:rPr>
        <w:t>.</w:t>
      </w:r>
      <w:r>
        <w:rPr>
          <w:rStyle w:val="22"/>
          <w:rFonts w:hint="eastAsia" w:ascii="Times New Roman" w:hAnsi="Times New Roman" w:cs="Times New Roman"/>
        </w:rPr>
        <w:t>5</w:t>
      </w:r>
      <w:r>
        <w:rPr>
          <w:rFonts w:cs="Times New Roman"/>
        </w:rPr>
        <w:t xml:space="preserve">  </w:t>
      </w:r>
      <w:bookmarkStart w:id="56" w:name="_Toc24310"/>
      <w:bookmarkStart w:id="57" w:name="_Toc1461"/>
      <w:r>
        <w:rPr>
          <w:rFonts w:cs="Times New Roman"/>
        </w:rPr>
        <w:t>当有可靠依据时，连接件也可采用</w:t>
      </w:r>
      <w:r>
        <w:rPr>
          <w:rFonts w:hint="eastAsia" w:cs="Times New Roman"/>
        </w:rPr>
        <w:t>玻璃钢、玄武岩纤维材质</w:t>
      </w:r>
      <w:r>
        <w:rPr>
          <w:rFonts w:cs="Times New Roman"/>
        </w:rPr>
        <w:t>，但应符合相应有关国家标准的要求</w:t>
      </w:r>
      <w:r>
        <w:rPr>
          <w:rFonts w:hint="eastAsia" w:cs="Times New Roman"/>
        </w:rPr>
        <w:t>。</w:t>
      </w:r>
    </w:p>
    <w:p>
      <w:pPr>
        <w:pStyle w:val="3"/>
        <w:snapToGrid w:val="0"/>
        <w:spacing w:before="0" w:after="0" w:line="360" w:lineRule="auto"/>
        <w:rPr>
          <w:rFonts w:ascii="Times New Roman" w:hAnsi="Times New Roman" w:cs="Times New Roman"/>
        </w:rPr>
        <w:sectPr>
          <w:footerReference r:id="rId8" w:type="default"/>
          <w:pgSz w:w="11906" w:h="16838"/>
          <w:pgMar w:top="1440" w:right="1800" w:bottom="1440" w:left="1800" w:header="851" w:footer="992" w:gutter="0"/>
          <w:pgNumType w:start="1"/>
          <w:cols w:space="425" w:num="1"/>
          <w:docGrid w:type="lines" w:linePitch="312" w:charSpace="0"/>
        </w:sectPr>
      </w:pPr>
    </w:p>
    <w:p>
      <w:pPr>
        <w:pStyle w:val="3"/>
        <w:snapToGrid w:val="0"/>
        <w:spacing w:before="0" w:after="0" w:line="360" w:lineRule="auto"/>
        <w:rPr>
          <w:rFonts w:ascii="Times New Roman" w:hAnsi="Times New Roman" w:cs="Times New Roman"/>
        </w:rPr>
      </w:pPr>
      <w:bookmarkStart w:id="58" w:name="_Toc9977"/>
      <w:r>
        <w:rPr>
          <w:rFonts w:ascii="Times New Roman" w:hAnsi="Times New Roman" w:cs="Times New Roman"/>
        </w:rPr>
        <w:t>4  设  计</w:t>
      </w:r>
      <w:bookmarkEnd w:id="56"/>
      <w:bookmarkEnd w:id="57"/>
      <w:bookmarkEnd w:id="58"/>
    </w:p>
    <w:p>
      <w:bookmarkStart w:id="59" w:name="_Toc20621"/>
      <w:bookmarkStart w:id="60" w:name="_Toc25415"/>
    </w:p>
    <w:p>
      <w:pPr>
        <w:pStyle w:val="4"/>
        <w:snapToGrid w:val="0"/>
        <w:spacing w:before="0" w:after="0" w:line="360" w:lineRule="auto"/>
        <w:rPr>
          <w:rFonts w:ascii="Times New Roman" w:hAnsi="Times New Roman" w:cs="Times New Roman"/>
        </w:rPr>
      </w:pPr>
      <w:bookmarkStart w:id="61" w:name="_Toc22163"/>
      <w:r>
        <w:rPr>
          <w:rFonts w:ascii="Times New Roman" w:hAnsi="Times New Roman" w:cs="Times New Roman"/>
        </w:rPr>
        <w:t>4.1  一般规定</w:t>
      </w:r>
      <w:bookmarkEnd w:id="54"/>
      <w:bookmarkEnd w:id="55"/>
      <w:bookmarkEnd w:id="59"/>
      <w:bookmarkEnd w:id="60"/>
      <w:bookmarkEnd w:id="61"/>
    </w:p>
    <w:p>
      <w:pPr>
        <w:snapToGrid w:val="0"/>
        <w:rPr>
          <w:rFonts w:cs="Times New Roman"/>
        </w:rPr>
      </w:pPr>
      <w:r>
        <w:rPr>
          <w:rStyle w:val="22"/>
          <w:rFonts w:ascii="Times New Roman" w:hAnsi="Times New Roman" w:cs="Times New Roman"/>
        </w:rPr>
        <w:t>4.1.1</w:t>
      </w:r>
      <w:r>
        <w:rPr>
          <w:rFonts w:cs="Times New Roman"/>
        </w:rPr>
        <w:t> 装配式复合轻质墙体设计时宜根据建筑功能、使用环境等因素选定合适的墙体厚度、墙面板规格、</w:t>
      </w:r>
      <w:r>
        <w:rPr>
          <w:rFonts w:hint="eastAsia" w:cs="Times New Roman"/>
        </w:rPr>
        <w:t>注仓</w:t>
      </w:r>
      <w:r>
        <w:rPr>
          <w:rFonts w:cs="Times New Roman"/>
        </w:rPr>
        <w:t>料的密度和强度等级。</w:t>
      </w:r>
    </w:p>
    <w:p>
      <w:pPr>
        <w:snapToGrid w:val="0"/>
        <w:rPr>
          <w:rStyle w:val="22"/>
          <w:rFonts w:ascii="Times New Roman" w:hAnsi="Times New Roman" w:cs="Times New Roman"/>
        </w:rPr>
      </w:pPr>
      <w:r>
        <w:rPr>
          <w:rStyle w:val="22"/>
          <w:rFonts w:ascii="Times New Roman" w:hAnsi="Times New Roman" w:cs="Times New Roman"/>
        </w:rPr>
        <w:t>4.1.</w:t>
      </w:r>
      <w:r>
        <w:rPr>
          <w:rStyle w:val="22"/>
          <w:rFonts w:hint="eastAsia" w:ascii="Times New Roman" w:hAnsi="Times New Roman" w:cs="Times New Roman"/>
        </w:rPr>
        <w:t>2</w:t>
      </w:r>
      <w:r>
        <w:rPr>
          <w:rFonts w:cs="Times New Roman"/>
        </w:rPr>
        <w:t>  装配式复合轻质墙体及其与结构的连接设计应符合国家现行标准</w:t>
      </w:r>
      <w:r>
        <w:t>《</w:t>
      </w:r>
      <w:r>
        <w:rPr>
          <w:rFonts w:hint="eastAsia"/>
        </w:rPr>
        <w:t>建筑与市政工程抗震通用规范</w:t>
      </w:r>
      <w:r>
        <w:t>》</w:t>
      </w:r>
      <w:r>
        <w:rPr>
          <w:rFonts w:hint="eastAsia"/>
        </w:rPr>
        <w:t>GB 55002、《建筑结构可靠性设计统一标准》GB 50068、《建筑结构荷载规范》GB 50009、《建筑抗震设计规范》GB 50011</w:t>
      </w:r>
      <w:r>
        <w:rPr>
          <w:rFonts w:cs="Times New Roman"/>
        </w:rPr>
        <w:t>和</w:t>
      </w:r>
      <w:r>
        <w:rPr>
          <w:rFonts w:hint="eastAsia"/>
        </w:rPr>
        <w:t>《非结构构件抗震设计规范》JGJ 339</w:t>
      </w:r>
      <w:r>
        <w:rPr>
          <w:rFonts w:cs="Times New Roman"/>
        </w:rPr>
        <w:t>的规定。</w:t>
      </w:r>
    </w:p>
    <w:p>
      <w:r>
        <w:rPr>
          <w:rStyle w:val="22"/>
          <w:rFonts w:ascii="Times New Roman" w:hAnsi="Times New Roman" w:cs="Times New Roman"/>
        </w:rPr>
        <w:t>4.1.</w:t>
      </w:r>
      <w:r>
        <w:rPr>
          <w:rStyle w:val="22"/>
          <w:rFonts w:hint="eastAsia" w:ascii="Times New Roman" w:hAnsi="Times New Roman" w:cs="Times New Roman"/>
        </w:rPr>
        <w:t>3</w:t>
      </w:r>
      <w:r>
        <w:rPr>
          <w:rFonts w:cs="Times New Roman"/>
        </w:rPr>
        <w:t> </w:t>
      </w:r>
      <w:r>
        <w:rPr>
          <w:rFonts w:hint="eastAsia" w:cs="Times New Roman"/>
        </w:rPr>
        <w:t xml:space="preserve"> </w:t>
      </w:r>
      <w:r>
        <w:rPr>
          <w:rFonts w:cs="Times New Roman"/>
        </w:rPr>
        <w:t>装配式复合轻质墙体的防火设计应符合《建筑设计防火规范》GB</w:t>
      </w:r>
      <w:r>
        <w:rPr>
          <w:rFonts w:hint="eastAsia" w:cs="Times New Roman"/>
        </w:rPr>
        <w:t xml:space="preserve"> </w:t>
      </w:r>
      <w:r>
        <w:rPr>
          <w:rFonts w:cs="Times New Roman"/>
        </w:rPr>
        <w:t>50016的规定。</w:t>
      </w:r>
      <w:r>
        <w:rPr>
          <w:rFonts w:hint="eastAsia" w:cs="Times New Roman"/>
        </w:rPr>
        <w:t>设计时，应根据不同部位墙体的耐火极限要求，选择相应的墙体构造。当选用其他构造时，应通过相关试验确认其耐火极限。</w:t>
      </w:r>
    </w:p>
    <w:p>
      <w:pPr>
        <w:ind w:firstLine="482" w:firstLineChars="200"/>
      </w:pPr>
      <w:r>
        <w:rPr>
          <w:rFonts w:hint="eastAsia"/>
          <w:b/>
          <w:bCs/>
        </w:rPr>
        <w:t>1</w:t>
      </w:r>
      <w:r>
        <w:rPr>
          <w:rFonts w:hint="eastAsia"/>
        </w:rPr>
        <w:t xml:space="preserve">  当200厚墙体两侧采用30mm厚墙面板（图4.1.3-1）时，其耐火极限可达到1.5h。</w:t>
      </w:r>
    </w:p>
    <w:p>
      <w:pPr>
        <w:jc w:val="center"/>
        <w:rPr>
          <w:rFonts w:ascii="宋体" w:hAnsi="宋体" w:cs="宋体"/>
        </w:rPr>
      </w:pPr>
      <w:r>
        <w:rPr>
          <w:rFonts w:hint="eastAsia" w:ascii="宋体" w:hAnsi="宋体" w:cs="宋体"/>
          <w:b/>
          <w:bCs/>
          <w:sz w:val="20"/>
        </w:rPr>
        <w:drawing>
          <wp:inline distT="0" distB="0" distL="114300" distR="114300">
            <wp:extent cx="4319905" cy="1014095"/>
            <wp:effectExtent l="0" t="0" r="4445" b="14605"/>
            <wp:docPr id="39" name="图片 39" descr="F:/2023/标准/图片2/QQ截图20240129105149.jpgQQ截图2024012910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2023/标准/图片2/QQ截图20240129105149.jpgQQ截图20240129105149"/>
                    <pic:cNvPicPr>
                      <a:picLocks noChangeAspect="1"/>
                    </pic:cNvPicPr>
                  </pic:nvPicPr>
                  <pic:blipFill>
                    <a:blip r:embed="rId12"/>
                    <a:srcRect t="2587" b="2587"/>
                    <a:stretch>
                      <a:fillRect/>
                    </a:stretch>
                  </pic:blipFill>
                  <pic:spPr>
                    <a:xfrm>
                      <a:off x="0" y="0"/>
                      <a:ext cx="4319905" cy="1014095"/>
                    </a:xfrm>
                    <a:prstGeom prst="rect">
                      <a:avLst/>
                    </a:prstGeom>
                  </pic:spPr>
                </pic:pic>
              </a:graphicData>
            </a:graphic>
          </wp:inline>
        </w:drawing>
      </w:r>
    </w:p>
    <w:p>
      <w:pPr>
        <w:jc w:val="center"/>
        <w:rPr>
          <w:b/>
          <w:bCs/>
          <w:sz w:val="21"/>
          <w:szCs w:val="21"/>
        </w:rPr>
      </w:pPr>
      <w:r>
        <w:rPr>
          <w:rFonts w:hint="eastAsia"/>
          <w:b/>
          <w:bCs/>
          <w:sz w:val="21"/>
          <w:szCs w:val="21"/>
        </w:rPr>
        <w:t>图4.1.3-1 两侧采用30mm厚墙面板的墙体构造</w:t>
      </w:r>
    </w:p>
    <w:p>
      <w:pPr>
        <w:jc w:val="center"/>
        <w:rPr>
          <w:sz w:val="18"/>
          <w:szCs w:val="18"/>
        </w:rPr>
      </w:pPr>
      <w:r>
        <w:rPr>
          <w:rFonts w:hint="eastAsia"/>
          <w:sz w:val="18"/>
          <w:szCs w:val="18"/>
        </w:rPr>
        <w:t>1-墙面板；2-连接件；3-自攻螺钉；4-保温隔热材料；5-注仓料</w:t>
      </w:r>
    </w:p>
    <w:p>
      <w:pPr>
        <w:ind w:firstLine="482" w:firstLineChars="200"/>
      </w:pPr>
      <w:r>
        <w:rPr>
          <w:rFonts w:hint="eastAsia"/>
          <w:b/>
          <w:bCs/>
        </w:rPr>
        <w:t>2</w:t>
      </w:r>
      <w:r>
        <w:rPr>
          <w:rFonts w:hint="eastAsia"/>
        </w:rPr>
        <w:t xml:space="preserve">  当200厚墙体两侧的墙面板和注仓料的总厚度为50mm（图4.1.3-2）时，其耐火极限可达到2.0h。</w:t>
      </w:r>
    </w:p>
    <w:p>
      <w:pPr>
        <w:jc w:val="center"/>
        <w:rPr>
          <w:rFonts w:ascii="宋体" w:hAnsi="宋体" w:cs="宋体"/>
        </w:rPr>
      </w:pPr>
      <w:r>
        <w:rPr>
          <w:rFonts w:hint="eastAsia" w:ascii="宋体" w:hAnsi="宋体" w:cs="宋体"/>
          <w:b/>
          <w:bCs/>
          <w:sz w:val="20"/>
        </w:rPr>
        <w:drawing>
          <wp:inline distT="0" distB="0" distL="114300" distR="114300">
            <wp:extent cx="4319905" cy="1076960"/>
            <wp:effectExtent l="0" t="0" r="4445" b="8890"/>
            <wp:docPr id="41" name="图片 41" descr="F:/2023/标准/图片2/QQ截图20240129105206.jpgQQ截图2024012910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2023/标准/图片2/QQ截图20240129105206.jpgQQ截图20240129105206"/>
                    <pic:cNvPicPr>
                      <a:picLocks noChangeAspect="1"/>
                    </pic:cNvPicPr>
                  </pic:nvPicPr>
                  <pic:blipFill>
                    <a:blip r:embed="rId13"/>
                    <a:srcRect t="2734" b="2734"/>
                    <a:stretch>
                      <a:fillRect/>
                    </a:stretch>
                  </pic:blipFill>
                  <pic:spPr>
                    <a:xfrm>
                      <a:off x="0" y="0"/>
                      <a:ext cx="4319905" cy="1076960"/>
                    </a:xfrm>
                    <a:prstGeom prst="rect">
                      <a:avLst/>
                    </a:prstGeom>
                  </pic:spPr>
                </pic:pic>
              </a:graphicData>
            </a:graphic>
          </wp:inline>
        </w:drawing>
      </w:r>
    </w:p>
    <w:p>
      <w:pPr>
        <w:jc w:val="center"/>
        <w:rPr>
          <w:b/>
          <w:bCs/>
          <w:sz w:val="21"/>
          <w:szCs w:val="21"/>
        </w:rPr>
      </w:pPr>
      <w:r>
        <w:rPr>
          <w:rFonts w:hint="eastAsia"/>
          <w:b/>
          <w:bCs/>
          <w:sz w:val="21"/>
          <w:szCs w:val="21"/>
        </w:rPr>
        <w:t>图4.1.3-2 两侧的墙面板和注仓料的总厚度为50mm的墙体构造</w:t>
      </w:r>
    </w:p>
    <w:p>
      <w:pPr>
        <w:jc w:val="center"/>
        <w:rPr>
          <w:sz w:val="18"/>
          <w:szCs w:val="18"/>
        </w:rPr>
      </w:pPr>
      <w:r>
        <w:rPr>
          <w:rFonts w:hint="eastAsia"/>
          <w:sz w:val="18"/>
          <w:szCs w:val="18"/>
        </w:rPr>
        <w:t>1-墙面板；2-连接件；3-自攻螺钉；4-保温隔热材料；5-注仓料</w:t>
      </w:r>
    </w:p>
    <w:p>
      <w:r>
        <w:rPr>
          <w:rStyle w:val="22"/>
          <w:rFonts w:hint="eastAsia" w:ascii="Times New Roman" w:hAnsi="Times New Roman" w:cs="Times New Roman"/>
        </w:rPr>
        <w:t>4.1.4</w:t>
      </w:r>
      <w:r>
        <w:rPr>
          <w:rFonts w:hint="eastAsia"/>
        </w:rPr>
        <w:t xml:space="preserve"> 墙体用于建筑外墙，当采用B</w:t>
      </w:r>
      <w:r>
        <w:rPr>
          <w:rFonts w:hint="eastAsia"/>
          <w:sz w:val="18"/>
          <w:szCs w:val="18"/>
        </w:rPr>
        <w:t>1</w:t>
      </w:r>
      <w:r>
        <w:rPr>
          <w:rFonts w:hint="eastAsia"/>
        </w:rPr>
        <w:t>级的保温隔热材料时，两侧的墙面板和注仓料的总厚度不应小于50mm。</w:t>
      </w:r>
    </w:p>
    <w:p>
      <w:pPr>
        <w:snapToGrid w:val="0"/>
        <w:rPr>
          <w:rFonts w:cs="Times New Roman"/>
        </w:rPr>
      </w:pPr>
      <w:r>
        <w:rPr>
          <w:rStyle w:val="22"/>
          <w:rFonts w:ascii="Times New Roman" w:hAnsi="Times New Roman" w:cs="Times New Roman"/>
        </w:rPr>
        <w:t>4.1.</w:t>
      </w:r>
      <w:r>
        <w:rPr>
          <w:rStyle w:val="22"/>
          <w:rFonts w:hint="eastAsia" w:ascii="Times New Roman" w:hAnsi="Times New Roman" w:cs="Times New Roman"/>
        </w:rPr>
        <w:t>5</w:t>
      </w:r>
      <w:r>
        <w:rPr>
          <w:rFonts w:cs="Times New Roman"/>
        </w:rPr>
        <w:t>  装配式复合轻质墙体用于民用建筑时，隔声性能应符合现行国家标准《民用建筑隔声设计规范》GB 50118的有关规定。</w:t>
      </w:r>
    </w:p>
    <w:p>
      <w:pPr>
        <w:rPr>
          <w:rFonts w:ascii="宋体" w:hAnsi="宋体" w:cs="宋体"/>
        </w:rPr>
      </w:pPr>
      <w:r>
        <w:rPr>
          <w:rStyle w:val="22"/>
          <w:rFonts w:ascii="Times New Roman" w:hAnsi="Times New Roman" w:cs="Times New Roman"/>
        </w:rPr>
        <w:t>4.1.</w:t>
      </w:r>
      <w:r>
        <w:rPr>
          <w:rStyle w:val="22"/>
          <w:rFonts w:hint="eastAsia" w:ascii="Times New Roman" w:hAnsi="Times New Roman" w:cs="Times New Roman"/>
        </w:rPr>
        <w:t>6</w:t>
      </w:r>
      <w:r>
        <w:rPr>
          <w:rFonts w:cs="Times New Roman"/>
        </w:rPr>
        <w:t>  墙体隔声</w:t>
      </w:r>
      <w:r>
        <w:rPr>
          <w:rFonts w:hint="eastAsia"/>
        </w:rPr>
        <w:t>设计时，应根据不同部位墙体的隔声要求，选择相应的注仓料密度。</w:t>
      </w:r>
    </w:p>
    <w:p>
      <w:pPr>
        <w:ind w:firstLine="482" w:firstLineChars="200"/>
        <w:rPr>
          <w:rFonts w:cs="Times New Roman"/>
          <w:sz w:val="21"/>
          <w:szCs w:val="21"/>
        </w:rPr>
      </w:pPr>
      <w:r>
        <w:rPr>
          <w:rFonts w:cs="Times New Roman"/>
          <w:b/>
          <w:bCs/>
        </w:rPr>
        <w:t xml:space="preserve">1  </w:t>
      </w:r>
      <w:r>
        <w:rPr>
          <w:rFonts w:cs="Times New Roman"/>
        </w:rPr>
        <w:t>选择图4.1.6-1</w:t>
      </w:r>
      <w:r>
        <w:rPr>
          <w:rFonts w:hint="eastAsia" w:cs="Times New Roman"/>
        </w:rPr>
        <w:t>墙体</w:t>
      </w:r>
      <w:r>
        <w:rPr>
          <w:rFonts w:cs="Times New Roman"/>
        </w:rPr>
        <w:t>构造时，不同注仓料密度</w:t>
      </w:r>
      <w:r>
        <w:rPr>
          <w:rFonts w:hint="eastAsia" w:cs="Times New Roman"/>
        </w:rPr>
        <w:t>墙体</w:t>
      </w:r>
      <w:r>
        <w:rPr>
          <w:rFonts w:cs="Times New Roman"/>
        </w:rPr>
        <w:t>空气声计权隔声量按照表4.1.6-1采用。</w:t>
      </w:r>
    </w:p>
    <w:p>
      <w:pPr>
        <w:jc w:val="center"/>
        <w:rPr>
          <w:rFonts w:cs="Times New Roman"/>
          <w:b/>
          <w:bCs/>
          <w:sz w:val="20"/>
        </w:rPr>
      </w:pPr>
      <w:r>
        <w:rPr>
          <w:rFonts w:cs="Times New Roman"/>
          <w:b/>
          <w:bCs/>
          <w:sz w:val="20"/>
        </w:rPr>
        <w:drawing>
          <wp:inline distT="0" distB="0" distL="114300" distR="114300">
            <wp:extent cx="4319905" cy="1014730"/>
            <wp:effectExtent l="0" t="0" r="4445" b="13970"/>
            <wp:docPr id="17" name="图片 17" descr="F:/2023/标准/图片2/QQ截图20240129105149.jpgQQ截图2024012910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2023/标准/图片2/QQ截图20240129105149.jpgQQ截图20240129105149"/>
                    <pic:cNvPicPr>
                      <a:picLocks noChangeAspect="1"/>
                    </pic:cNvPicPr>
                  </pic:nvPicPr>
                  <pic:blipFill>
                    <a:blip r:embed="rId12"/>
                    <a:srcRect t="2558" b="2558"/>
                    <a:stretch>
                      <a:fillRect/>
                    </a:stretch>
                  </pic:blipFill>
                  <pic:spPr>
                    <a:xfrm>
                      <a:off x="0" y="0"/>
                      <a:ext cx="4319905" cy="1014730"/>
                    </a:xfrm>
                    <a:prstGeom prst="rect">
                      <a:avLst/>
                    </a:prstGeom>
                  </pic:spPr>
                </pic:pic>
              </a:graphicData>
            </a:graphic>
          </wp:inline>
        </w:drawing>
      </w:r>
    </w:p>
    <w:p>
      <w:pPr>
        <w:jc w:val="center"/>
        <w:rPr>
          <w:b/>
          <w:bCs/>
          <w:sz w:val="21"/>
          <w:szCs w:val="21"/>
        </w:rPr>
      </w:pPr>
      <w:r>
        <w:rPr>
          <w:b/>
          <w:bCs/>
          <w:sz w:val="21"/>
          <w:szCs w:val="21"/>
        </w:rPr>
        <w:t>图4.1.6-1  常用</w:t>
      </w:r>
      <w:r>
        <w:rPr>
          <w:rFonts w:hint="eastAsia"/>
          <w:b/>
          <w:bCs/>
          <w:sz w:val="21"/>
          <w:szCs w:val="21"/>
        </w:rPr>
        <w:t>墙体</w:t>
      </w:r>
      <w:r>
        <w:rPr>
          <w:b/>
          <w:bCs/>
          <w:sz w:val="21"/>
          <w:szCs w:val="21"/>
        </w:rPr>
        <w:t>构造（一）</w:t>
      </w:r>
    </w:p>
    <w:p>
      <w:pPr>
        <w:jc w:val="center"/>
        <w:rPr>
          <w:sz w:val="18"/>
          <w:szCs w:val="18"/>
        </w:rPr>
      </w:pPr>
      <w:r>
        <w:rPr>
          <w:sz w:val="18"/>
          <w:szCs w:val="18"/>
        </w:rPr>
        <w:t>1-墙面板；2-连接件；3-自攻螺钉；4-保温隔热材料；5-注仓料</w:t>
      </w:r>
    </w:p>
    <w:p>
      <w:pPr>
        <w:jc w:val="center"/>
        <w:rPr>
          <w:rFonts w:eastAsia="黑体" w:cs="Times New Roman"/>
          <w:b/>
          <w:bCs/>
          <w:sz w:val="21"/>
          <w:szCs w:val="21"/>
        </w:rPr>
      </w:pPr>
      <w:r>
        <w:rPr>
          <w:rFonts w:eastAsia="黑体" w:cs="Times New Roman"/>
          <w:b/>
          <w:bCs/>
          <w:sz w:val="21"/>
          <w:szCs w:val="21"/>
        </w:rPr>
        <w:t>表4.1.6-1 不同注仓料密度</w:t>
      </w:r>
      <w:r>
        <w:rPr>
          <w:rFonts w:hint="eastAsia" w:eastAsia="黑体" w:cs="Times New Roman"/>
          <w:b/>
          <w:bCs/>
          <w:sz w:val="21"/>
          <w:szCs w:val="21"/>
        </w:rPr>
        <w:t>墙体</w:t>
      </w:r>
      <w:r>
        <w:rPr>
          <w:rFonts w:eastAsia="黑体" w:cs="Times New Roman"/>
          <w:b/>
          <w:bCs/>
          <w:sz w:val="21"/>
          <w:szCs w:val="21"/>
        </w:rPr>
        <w:t>空气声计权隔声量</w:t>
      </w:r>
    </w:p>
    <w:tbl>
      <w:tblPr>
        <w:tblStyle w:val="17"/>
        <w:tblW w:w="5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0"/>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注仓料密度（kg/m³）</w:t>
            </w:r>
          </w:p>
        </w:tc>
        <w:tc>
          <w:tcPr>
            <w:tcW w:w="3623" w:type="dxa"/>
            <w:vAlign w:val="center"/>
          </w:tcPr>
          <w:p>
            <w:pPr>
              <w:jc w:val="center"/>
              <w:rPr>
                <w:rFonts w:cs="Times New Roman"/>
                <w:sz w:val="21"/>
                <w:szCs w:val="21"/>
              </w:rPr>
            </w:pPr>
            <w:r>
              <w:rPr>
                <w:rFonts w:hint="eastAsia" w:cs="Times New Roman"/>
                <w:sz w:val="21"/>
                <w:szCs w:val="21"/>
              </w:rPr>
              <w:t>墙体</w:t>
            </w:r>
            <w:r>
              <w:rPr>
                <w:rFonts w:cs="Times New Roman"/>
                <w:sz w:val="21"/>
                <w:szCs w:val="21"/>
              </w:rPr>
              <w:t>空气声计权隔声量（dB）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400</w:t>
            </w:r>
          </w:p>
        </w:tc>
        <w:tc>
          <w:tcPr>
            <w:tcW w:w="3623" w:type="dxa"/>
            <w:vAlign w:val="center"/>
          </w:tcPr>
          <w:p>
            <w:pPr>
              <w:jc w:val="center"/>
              <w:rPr>
                <w:rFonts w:cs="Times New Roman"/>
                <w:sz w:val="21"/>
                <w:szCs w:val="21"/>
              </w:rPr>
            </w:pPr>
            <w:r>
              <w:rPr>
                <w:rFonts w:cs="Times New Roman"/>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600</w:t>
            </w:r>
          </w:p>
        </w:tc>
        <w:tc>
          <w:tcPr>
            <w:tcW w:w="3623" w:type="dxa"/>
            <w:vAlign w:val="center"/>
          </w:tcPr>
          <w:p>
            <w:pPr>
              <w:jc w:val="center"/>
              <w:rPr>
                <w:rFonts w:cs="Times New Roman"/>
                <w:sz w:val="21"/>
                <w:szCs w:val="21"/>
              </w:rPr>
            </w:pPr>
            <w:r>
              <w:rPr>
                <w:rFonts w:cs="Times New Roman"/>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1000</w:t>
            </w:r>
          </w:p>
        </w:tc>
        <w:tc>
          <w:tcPr>
            <w:tcW w:w="3623" w:type="dxa"/>
            <w:vAlign w:val="center"/>
          </w:tcPr>
          <w:p>
            <w:pPr>
              <w:jc w:val="center"/>
              <w:rPr>
                <w:rFonts w:cs="Times New Roman"/>
                <w:sz w:val="21"/>
                <w:szCs w:val="21"/>
              </w:rPr>
            </w:pPr>
            <w:r>
              <w:rPr>
                <w:rFonts w:cs="Times New Roman"/>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1200</w:t>
            </w:r>
          </w:p>
        </w:tc>
        <w:tc>
          <w:tcPr>
            <w:tcW w:w="3623" w:type="dxa"/>
            <w:vAlign w:val="center"/>
          </w:tcPr>
          <w:p>
            <w:pPr>
              <w:jc w:val="center"/>
              <w:rPr>
                <w:rFonts w:cs="Times New Roman"/>
                <w:sz w:val="21"/>
                <w:szCs w:val="21"/>
              </w:rPr>
            </w:pPr>
            <w:r>
              <w:rPr>
                <w:rFonts w:cs="Times New Roman"/>
                <w:sz w:val="21"/>
                <w:szCs w:val="21"/>
              </w:rPr>
              <w:t>44</w:t>
            </w:r>
          </w:p>
        </w:tc>
      </w:tr>
    </w:tbl>
    <w:p>
      <w:pPr>
        <w:ind w:firstLine="482" w:firstLineChars="200"/>
        <w:rPr>
          <w:rFonts w:cs="Times New Roman"/>
          <w:sz w:val="21"/>
          <w:szCs w:val="21"/>
        </w:rPr>
      </w:pPr>
      <w:r>
        <w:rPr>
          <w:rFonts w:cs="Times New Roman"/>
          <w:b/>
          <w:bCs/>
        </w:rPr>
        <w:t xml:space="preserve">2  </w:t>
      </w:r>
      <w:r>
        <w:rPr>
          <w:rFonts w:cs="Times New Roman"/>
        </w:rPr>
        <w:t>选择图4.1.6-2</w:t>
      </w:r>
      <w:r>
        <w:rPr>
          <w:rFonts w:hint="eastAsia" w:cs="Times New Roman"/>
        </w:rPr>
        <w:t>墙体</w:t>
      </w:r>
      <w:r>
        <w:rPr>
          <w:rFonts w:cs="Times New Roman"/>
        </w:rPr>
        <w:t>构造时，不同注仓料密度</w:t>
      </w:r>
      <w:r>
        <w:rPr>
          <w:rFonts w:hint="eastAsia" w:cs="Times New Roman"/>
        </w:rPr>
        <w:t>墙体</w:t>
      </w:r>
      <w:r>
        <w:rPr>
          <w:rFonts w:cs="Times New Roman"/>
        </w:rPr>
        <w:t>空气声计权隔声量按照表4.1.6-2采用。</w:t>
      </w:r>
    </w:p>
    <w:p>
      <w:pPr>
        <w:jc w:val="center"/>
        <w:rPr>
          <w:rFonts w:cs="Times New Roman"/>
          <w:b/>
          <w:bCs/>
          <w:sz w:val="20"/>
        </w:rPr>
      </w:pPr>
      <w:r>
        <w:rPr>
          <w:rFonts w:cs="Times New Roman"/>
          <w:b/>
          <w:bCs/>
          <w:sz w:val="20"/>
        </w:rPr>
        <w:drawing>
          <wp:inline distT="0" distB="0" distL="114300" distR="114300">
            <wp:extent cx="4319905" cy="1076960"/>
            <wp:effectExtent l="0" t="0" r="4445" b="8890"/>
            <wp:docPr id="26" name="图片 26" descr="F:/2023/标准/图片2/QQ截图20240129105206.jpgQQ截图2024012910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2023/标准/图片2/QQ截图20240129105206.jpgQQ截图20240129105206"/>
                    <pic:cNvPicPr>
                      <a:picLocks noChangeAspect="1"/>
                    </pic:cNvPicPr>
                  </pic:nvPicPr>
                  <pic:blipFill>
                    <a:blip r:embed="rId13"/>
                    <a:srcRect t="2734" b="2734"/>
                    <a:stretch>
                      <a:fillRect/>
                    </a:stretch>
                  </pic:blipFill>
                  <pic:spPr>
                    <a:xfrm>
                      <a:off x="0" y="0"/>
                      <a:ext cx="4319905" cy="1076960"/>
                    </a:xfrm>
                    <a:prstGeom prst="rect">
                      <a:avLst/>
                    </a:prstGeom>
                  </pic:spPr>
                </pic:pic>
              </a:graphicData>
            </a:graphic>
          </wp:inline>
        </w:drawing>
      </w:r>
    </w:p>
    <w:p>
      <w:pPr>
        <w:jc w:val="center"/>
        <w:rPr>
          <w:rFonts w:cs="Times New Roman"/>
          <w:b/>
          <w:bCs/>
          <w:sz w:val="21"/>
          <w:szCs w:val="21"/>
        </w:rPr>
      </w:pPr>
      <w:r>
        <w:rPr>
          <w:rFonts w:cs="Times New Roman"/>
          <w:b/>
          <w:bCs/>
          <w:sz w:val="21"/>
          <w:szCs w:val="21"/>
        </w:rPr>
        <w:t>图4.1.6-2  常用</w:t>
      </w:r>
      <w:r>
        <w:rPr>
          <w:rFonts w:hint="eastAsia" w:cs="Times New Roman"/>
          <w:b/>
          <w:bCs/>
          <w:sz w:val="21"/>
          <w:szCs w:val="21"/>
        </w:rPr>
        <w:t>墙体</w:t>
      </w:r>
      <w:r>
        <w:rPr>
          <w:rFonts w:cs="Times New Roman"/>
          <w:b/>
          <w:bCs/>
          <w:sz w:val="21"/>
          <w:szCs w:val="21"/>
        </w:rPr>
        <w:t>构造（二）</w:t>
      </w:r>
    </w:p>
    <w:p>
      <w:pPr>
        <w:jc w:val="center"/>
        <w:rPr>
          <w:rFonts w:cs="Times New Roman"/>
          <w:sz w:val="18"/>
          <w:szCs w:val="18"/>
        </w:rPr>
      </w:pPr>
      <w:r>
        <w:rPr>
          <w:rFonts w:cs="Times New Roman"/>
          <w:sz w:val="18"/>
          <w:szCs w:val="18"/>
        </w:rPr>
        <w:t>1-墙面板；2-连接件；3-自攻螺钉；4-保温隔热材料；5-注仓料</w:t>
      </w:r>
    </w:p>
    <w:p>
      <w:pPr>
        <w:jc w:val="center"/>
        <w:rPr>
          <w:rFonts w:eastAsia="黑体" w:cs="Times New Roman"/>
          <w:b/>
          <w:bCs/>
          <w:sz w:val="21"/>
          <w:szCs w:val="21"/>
        </w:rPr>
      </w:pPr>
      <w:r>
        <w:rPr>
          <w:rFonts w:eastAsia="黑体" w:cs="Times New Roman"/>
          <w:b/>
          <w:bCs/>
          <w:sz w:val="21"/>
          <w:szCs w:val="21"/>
        </w:rPr>
        <w:t>表4.1.6-2 不同注仓料密度</w:t>
      </w:r>
      <w:r>
        <w:rPr>
          <w:rFonts w:hint="eastAsia" w:eastAsia="黑体" w:cs="Times New Roman"/>
          <w:b/>
          <w:bCs/>
          <w:sz w:val="21"/>
          <w:szCs w:val="21"/>
        </w:rPr>
        <w:t>墙体</w:t>
      </w:r>
      <w:r>
        <w:rPr>
          <w:rFonts w:eastAsia="黑体" w:cs="Times New Roman"/>
          <w:b/>
          <w:bCs/>
          <w:sz w:val="21"/>
          <w:szCs w:val="21"/>
        </w:rPr>
        <w:t>空气声计权隔声量</w:t>
      </w:r>
    </w:p>
    <w:tbl>
      <w:tblPr>
        <w:tblStyle w:val="17"/>
        <w:tblW w:w="5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0"/>
        <w:gridCol w:w="3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注仓料密度（kg/m³）</w:t>
            </w:r>
          </w:p>
        </w:tc>
        <w:tc>
          <w:tcPr>
            <w:tcW w:w="3340" w:type="dxa"/>
            <w:vAlign w:val="center"/>
          </w:tcPr>
          <w:p>
            <w:pPr>
              <w:jc w:val="center"/>
              <w:rPr>
                <w:rFonts w:cs="Times New Roman"/>
                <w:sz w:val="21"/>
                <w:szCs w:val="21"/>
              </w:rPr>
            </w:pPr>
            <w:r>
              <w:rPr>
                <w:rFonts w:hint="eastAsia" w:cs="Times New Roman"/>
                <w:sz w:val="21"/>
                <w:szCs w:val="21"/>
              </w:rPr>
              <w:t>墙体</w:t>
            </w:r>
            <w:r>
              <w:rPr>
                <w:rFonts w:cs="Times New Roman"/>
                <w:sz w:val="21"/>
                <w:szCs w:val="21"/>
              </w:rPr>
              <w:t>空气声计权隔声量（dB）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400</w:t>
            </w:r>
          </w:p>
        </w:tc>
        <w:tc>
          <w:tcPr>
            <w:tcW w:w="3340" w:type="dxa"/>
            <w:vAlign w:val="center"/>
          </w:tcPr>
          <w:p>
            <w:pPr>
              <w:jc w:val="center"/>
              <w:rPr>
                <w:rFonts w:cs="Times New Roman"/>
                <w:sz w:val="21"/>
                <w:szCs w:val="21"/>
              </w:rPr>
            </w:pPr>
            <w:r>
              <w:rPr>
                <w:rFonts w:cs="Times New Roman"/>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600</w:t>
            </w:r>
          </w:p>
        </w:tc>
        <w:tc>
          <w:tcPr>
            <w:tcW w:w="3340" w:type="dxa"/>
            <w:vAlign w:val="center"/>
          </w:tcPr>
          <w:p>
            <w:pPr>
              <w:jc w:val="center"/>
              <w:rPr>
                <w:rFonts w:cs="Times New Roman"/>
                <w:sz w:val="21"/>
                <w:szCs w:val="21"/>
              </w:rPr>
            </w:pPr>
            <w:r>
              <w:rPr>
                <w:rFonts w:cs="Times New Roman"/>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1000</w:t>
            </w:r>
          </w:p>
        </w:tc>
        <w:tc>
          <w:tcPr>
            <w:tcW w:w="3340" w:type="dxa"/>
            <w:vAlign w:val="center"/>
          </w:tcPr>
          <w:p>
            <w:pPr>
              <w:jc w:val="center"/>
              <w:rPr>
                <w:rFonts w:cs="Times New Roman"/>
                <w:sz w:val="21"/>
                <w:szCs w:val="21"/>
              </w:rPr>
            </w:pPr>
            <w:r>
              <w:rPr>
                <w:rFonts w:cs="Times New Roman"/>
                <w:sz w:val="21"/>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0" w:type="dxa"/>
            <w:vAlign w:val="center"/>
          </w:tcPr>
          <w:p>
            <w:pPr>
              <w:jc w:val="center"/>
              <w:rPr>
                <w:rFonts w:cs="Times New Roman"/>
                <w:sz w:val="21"/>
                <w:szCs w:val="21"/>
              </w:rPr>
            </w:pPr>
            <w:r>
              <w:rPr>
                <w:rFonts w:cs="Times New Roman"/>
                <w:sz w:val="21"/>
                <w:szCs w:val="21"/>
              </w:rPr>
              <w:t>1200</w:t>
            </w:r>
          </w:p>
        </w:tc>
        <w:tc>
          <w:tcPr>
            <w:tcW w:w="3340" w:type="dxa"/>
            <w:vAlign w:val="center"/>
          </w:tcPr>
          <w:p>
            <w:pPr>
              <w:jc w:val="center"/>
              <w:rPr>
                <w:rFonts w:cs="Times New Roman"/>
                <w:sz w:val="21"/>
                <w:szCs w:val="21"/>
              </w:rPr>
            </w:pPr>
            <w:r>
              <w:rPr>
                <w:rFonts w:cs="Times New Roman"/>
                <w:sz w:val="21"/>
                <w:szCs w:val="21"/>
              </w:rPr>
              <w:t>45</w:t>
            </w:r>
          </w:p>
        </w:tc>
      </w:tr>
    </w:tbl>
    <w:p>
      <w:pPr>
        <w:snapToGrid w:val="0"/>
        <w:rPr>
          <w:rStyle w:val="22"/>
          <w:rFonts w:ascii="Times New Roman" w:hAnsi="Times New Roman" w:cs="Times New Roman"/>
        </w:rPr>
      </w:pPr>
    </w:p>
    <w:p>
      <w:pPr>
        <w:snapToGrid w:val="0"/>
        <w:rPr>
          <w:rFonts w:cs="Times New Roman"/>
        </w:rPr>
      </w:pPr>
      <w:r>
        <w:rPr>
          <w:rStyle w:val="22"/>
          <w:rFonts w:ascii="Times New Roman" w:hAnsi="Times New Roman" w:cs="Times New Roman"/>
        </w:rPr>
        <w:t>4.1.</w:t>
      </w:r>
      <w:r>
        <w:rPr>
          <w:rStyle w:val="22"/>
          <w:rFonts w:hint="eastAsia" w:ascii="Times New Roman" w:hAnsi="Times New Roman" w:cs="Times New Roman"/>
        </w:rPr>
        <w:t>7</w:t>
      </w:r>
      <w:r>
        <w:rPr>
          <w:rFonts w:cs="Times New Roman"/>
        </w:rPr>
        <w:t> 建筑外墙、外门窗洞口、有防水要求房间的墙体应采取防水措施。墙面防水做法应符合现行国家标准《建筑与市政工程防水通用规范》GB 55030和现行行业标准《</w:t>
      </w:r>
      <w:r>
        <w:rPr>
          <w:rFonts w:hint="eastAsia" w:cs="Times New Roman"/>
        </w:rPr>
        <w:t>建筑外墙防水工程技术规程</w:t>
      </w:r>
      <w:r>
        <w:rPr>
          <w:rFonts w:cs="Times New Roman"/>
        </w:rPr>
        <w:t>》</w:t>
      </w:r>
      <w:r>
        <w:rPr>
          <w:rFonts w:hint="eastAsia" w:cs="Times New Roman"/>
        </w:rPr>
        <w:t>JGJ/T 235</w:t>
      </w:r>
      <w:r>
        <w:rPr>
          <w:rFonts w:cs="Times New Roman"/>
        </w:rPr>
        <w:t>的有关</w:t>
      </w:r>
      <w:r>
        <w:rPr>
          <w:rFonts w:hint="eastAsia" w:cs="Times New Roman"/>
        </w:rPr>
        <w:t>规定</w:t>
      </w:r>
      <w:r>
        <w:rPr>
          <w:rFonts w:cs="Times New Roman"/>
        </w:rPr>
        <w:t>。</w:t>
      </w:r>
    </w:p>
    <w:p>
      <w:pPr>
        <w:snapToGrid w:val="0"/>
        <w:ind w:firstLine="420" w:firstLineChars="200"/>
        <w:rPr>
          <w:rFonts w:cs="Times New Roman"/>
        </w:rPr>
      </w:pPr>
      <w:r>
        <w:rPr>
          <w:rFonts w:ascii="楷体" w:hAnsi="楷体" w:eastAsia="楷体" w:cs="Times New Roman"/>
          <w:sz w:val="21"/>
          <w:szCs w:val="21"/>
        </w:rPr>
        <w:t>【条文说明】建筑外墙、外门窗洞口与窗口连接处、室内有防水要求的墙体均是防水的薄弱环节，</w:t>
      </w:r>
      <w:r>
        <w:rPr>
          <w:rFonts w:hint="eastAsia" w:ascii="楷体" w:hAnsi="楷体" w:eastAsia="楷体" w:cs="Times New Roman"/>
          <w:sz w:val="21"/>
          <w:szCs w:val="21"/>
        </w:rPr>
        <w:t>应采取</w:t>
      </w:r>
      <w:r>
        <w:rPr>
          <w:rFonts w:ascii="楷体" w:hAnsi="楷体" w:eastAsia="楷体" w:cs="Times New Roman"/>
          <w:sz w:val="21"/>
          <w:szCs w:val="21"/>
        </w:rPr>
        <w:t>满足现行规范要求的防水构造措施。</w:t>
      </w:r>
    </w:p>
    <w:p>
      <w:pPr>
        <w:pStyle w:val="8"/>
        <w:snapToGrid w:val="0"/>
      </w:pPr>
      <w:r>
        <w:rPr>
          <w:rStyle w:val="22"/>
          <w:rFonts w:ascii="Times New Roman" w:hAnsi="Times New Roman" w:cs="Times New Roman"/>
        </w:rPr>
        <w:t>4.1.</w:t>
      </w:r>
      <w:r>
        <w:rPr>
          <w:rStyle w:val="22"/>
          <w:rFonts w:hint="eastAsia" w:ascii="Times New Roman" w:hAnsi="Times New Roman" w:cs="Times New Roman"/>
        </w:rPr>
        <w:t>8</w:t>
      </w:r>
      <w:r>
        <w:rPr>
          <w:rFonts w:cs="Times New Roman"/>
        </w:rPr>
        <w:t>装配式复合轻质墙体</w:t>
      </w:r>
      <w:r>
        <w:rPr>
          <w:rFonts w:hint="eastAsia"/>
        </w:rPr>
        <w:t>设计技术文件应包括下列内容：</w:t>
      </w:r>
    </w:p>
    <w:p>
      <w:pPr>
        <w:pStyle w:val="8"/>
        <w:snapToGrid w:val="0"/>
        <w:ind w:firstLine="482" w:firstLineChars="200"/>
        <w:rPr>
          <w:rFonts w:cs="Times New Roman"/>
        </w:rPr>
      </w:pPr>
      <w:r>
        <w:rPr>
          <w:rFonts w:cs="Times New Roman"/>
          <w:b/>
          <w:bCs/>
        </w:rPr>
        <w:t xml:space="preserve">1  </w:t>
      </w:r>
      <w:r>
        <w:rPr>
          <w:rFonts w:cs="Times New Roman"/>
        </w:rPr>
        <w:t>墙体的轴线分布、厚度、门窗位置和洞口尺寸。</w:t>
      </w:r>
    </w:p>
    <w:p>
      <w:pPr>
        <w:pStyle w:val="8"/>
        <w:snapToGrid w:val="0"/>
        <w:ind w:firstLine="482" w:firstLineChars="200"/>
        <w:rPr>
          <w:rFonts w:cs="Times New Roman"/>
        </w:rPr>
      </w:pPr>
      <w:r>
        <w:rPr>
          <w:rFonts w:cs="Times New Roman"/>
          <w:b/>
          <w:bCs/>
        </w:rPr>
        <w:t xml:space="preserve">2  </w:t>
      </w:r>
      <w:r>
        <w:rPr>
          <w:rFonts w:cs="Times New Roman"/>
        </w:rPr>
        <w:t>墙体的防火、隔声、防水、保温等技术性能要求。</w:t>
      </w:r>
    </w:p>
    <w:p>
      <w:pPr>
        <w:pStyle w:val="8"/>
        <w:snapToGrid w:val="0"/>
        <w:ind w:firstLine="482" w:firstLineChars="200"/>
        <w:rPr>
          <w:rFonts w:cs="Times New Roman"/>
        </w:rPr>
      </w:pPr>
      <w:r>
        <w:rPr>
          <w:rFonts w:cs="Times New Roman"/>
          <w:b/>
          <w:bCs/>
        </w:rPr>
        <w:t xml:space="preserve">3  </w:t>
      </w:r>
      <w:r>
        <w:rPr>
          <w:rFonts w:cs="Times New Roman"/>
        </w:rPr>
        <w:t>墙体的抗震性能要求和相应的抗震、加固措施。</w:t>
      </w:r>
    </w:p>
    <w:p>
      <w:pPr>
        <w:pStyle w:val="8"/>
        <w:snapToGrid w:val="0"/>
        <w:ind w:firstLine="482" w:firstLineChars="200"/>
        <w:rPr>
          <w:rFonts w:cs="Times New Roman"/>
        </w:rPr>
      </w:pPr>
      <w:r>
        <w:rPr>
          <w:rFonts w:cs="Times New Roman"/>
          <w:b/>
          <w:bCs/>
        </w:rPr>
        <w:t xml:space="preserve">4  </w:t>
      </w:r>
      <w:r>
        <w:rPr>
          <w:rFonts w:cs="Times New Roman"/>
        </w:rPr>
        <w:t>墙体特殊部位的加固措施。</w:t>
      </w:r>
    </w:p>
    <w:p>
      <w:pPr>
        <w:pStyle w:val="8"/>
        <w:snapToGrid w:val="0"/>
        <w:ind w:firstLine="480" w:firstLineChars="200"/>
        <w:rPr>
          <w:rFonts w:cs="Times New Roman"/>
        </w:rPr>
      </w:pPr>
    </w:p>
    <w:p>
      <w:pPr>
        <w:pStyle w:val="4"/>
        <w:snapToGrid w:val="0"/>
        <w:spacing w:before="0" w:after="0" w:line="360" w:lineRule="auto"/>
        <w:rPr>
          <w:rFonts w:ascii="Times New Roman" w:hAnsi="Times New Roman" w:cs="Times New Roman"/>
        </w:rPr>
      </w:pPr>
      <w:bookmarkStart w:id="62" w:name="_Toc2387"/>
      <w:bookmarkStart w:id="63" w:name="_Toc24912"/>
      <w:bookmarkStart w:id="64" w:name="_Toc29139"/>
      <w:bookmarkStart w:id="65" w:name="_Toc15411"/>
      <w:bookmarkStart w:id="66" w:name="_Toc26098"/>
      <w:r>
        <w:rPr>
          <w:rFonts w:ascii="Times New Roman" w:hAnsi="Times New Roman" w:cs="Times New Roman"/>
        </w:rPr>
        <w:t>4.</w:t>
      </w:r>
      <w:r>
        <w:rPr>
          <w:rFonts w:hint="eastAsia" w:ascii="Times New Roman" w:hAnsi="Times New Roman" w:cs="Times New Roman"/>
        </w:rPr>
        <w:t>2</w:t>
      </w:r>
      <w:r>
        <w:rPr>
          <w:rFonts w:ascii="Times New Roman" w:hAnsi="Times New Roman" w:cs="Times New Roman"/>
        </w:rPr>
        <w:t>  结构设计</w:t>
      </w:r>
      <w:bookmarkEnd w:id="62"/>
      <w:bookmarkEnd w:id="63"/>
      <w:bookmarkEnd w:id="64"/>
      <w:bookmarkEnd w:id="65"/>
      <w:bookmarkEnd w:id="66"/>
    </w:p>
    <w:p>
      <w:pPr>
        <w:snapToGrid w:val="0"/>
        <w:rPr>
          <w:rFonts w:cs="Times New Roman"/>
        </w:rPr>
      </w:pPr>
      <w:r>
        <w:rPr>
          <w:rStyle w:val="22"/>
          <w:rFonts w:ascii="Times New Roman" w:hAnsi="Times New Roman" w:cs="Times New Roman"/>
        </w:rPr>
        <w:t>4.2.</w:t>
      </w:r>
      <w:r>
        <w:rPr>
          <w:rStyle w:val="22"/>
          <w:rFonts w:hint="eastAsia" w:ascii="Times New Roman" w:hAnsi="Times New Roman" w:cs="Times New Roman"/>
        </w:rPr>
        <w:t>1</w:t>
      </w:r>
      <w:r>
        <w:rPr>
          <w:rFonts w:cs="Times New Roman"/>
        </w:rPr>
        <w:t>  抗震设防区的装配式复合轻质墙体之间、墙体与主体结构之间的连接构造应符合现行国家标准</w:t>
      </w:r>
      <w:r>
        <w:t>《</w:t>
      </w:r>
      <w:r>
        <w:rPr>
          <w:rFonts w:hint="eastAsia"/>
        </w:rPr>
        <w:t>建筑与市政工程抗震通用规范</w:t>
      </w:r>
      <w:r>
        <w:t>》</w:t>
      </w:r>
      <w:r>
        <w:rPr>
          <w:rFonts w:hint="eastAsia"/>
        </w:rPr>
        <w:t>GB 55002、《建筑抗震设计规范》GB 50011</w:t>
      </w:r>
      <w:r>
        <w:rPr>
          <w:rFonts w:cs="Times New Roman"/>
        </w:rPr>
        <w:t>和现行行业标准《非结构构件抗震设计规范》JGJ 339的有关规定。</w:t>
      </w:r>
    </w:p>
    <w:p>
      <w:pPr>
        <w:snapToGrid w:val="0"/>
        <w:rPr>
          <w:rFonts w:cs="Times New Roman"/>
        </w:rPr>
      </w:pPr>
      <w:r>
        <w:rPr>
          <w:rStyle w:val="22"/>
          <w:rFonts w:ascii="Times New Roman" w:hAnsi="Times New Roman" w:cs="Times New Roman"/>
        </w:rPr>
        <w:t>4.2.</w:t>
      </w:r>
      <w:r>
        <w:rPr>
          <w:rStyle w:val="22"/>
          <w:rFonts w:hint="eastAsia" w:ascii="Times New Roman" w:hAnsi="Times New Roman" w:cs="Times New Roman"/>
        </w:rPr>
        <w:t>2</w:t>
      </w:r>
      <w:r>
        <w:rPr>
          <w:rFonts w:cs="Times New Roman"/>
        </w:rPr>
        <w:t>  装配式复合轻质墙体在地震作用下的变形不应超过其自身的变形能力，且应符合现行国家标准《建筑抗震设计规范》GB 50011对主体结构的层间位移要求。当主体结构达到弹性层间位移角限值时，墙体不应开裂；当主体结构达到弹塑性层间位移角限值时，墙体不应垮塌。</w:t>
      </w:r>
    </w:p>
    <w:p>
      <w:pPr>
        <w:snapToGrid w:val="0"/>
        <w:rPr>
          <w:rFonts w:cs="Times New Roman"/>
        </w:rPr>
      </w:pPr>
      <w:r>
        <w:rPr>
          <w:rStyle w:val="22"/>
          <w:rFonts w:ascii="Times New Roman" w:hAnsi="Times New Roman" w:cs="Times New Roman"/>
        </w:rPr>
        <w:t>4.2.</w:t>
      </w:r>
      <w:r>
        <w:rPr>
          <w:rStyle w:val="22"/>
          <w:rFonts w:hint="eastAsia" w:ascii="Times New Roman" w:hAnsi="Times New Roman" w:cs="Times New Roman"/>
        </w:rPr>
        <w:t>3</w:t>
      </w:r>
      <w:r>
        <w:rPr>
          <w:rFonts w:cs="Times New Roman"/>
        </w:rPr>
        <w:t>  装配式复合轻质墙体平面外强度应满足下列要求：</w:t>
      </w:r>
    </w:p>
    <w:p>
      <w:pPr>
        <w:snapToGrid w:val="0"/>
        <w:jc w:val="right"/>
        <w:rPr>
          <w:rFonts w:cs="Times New Roman"/>
        </w:rPr>
      </w:p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m:sty m:val="p"/>
              </m:rPr>
              <w:rPr>
                <w:rFonts w:ascii="Cambria Math" w:hAnsi="Cambria Math" w:cs="Times New Roman"/>
              </w:rPr>
              <m:t>eq</m:t>
            </m:r>
            <m:ctrlPr>
              <w:rPr>
                <w:rFonts w:ascii="Cambria Math" w:hAnsi="Cambria Math" w:cs="Times New Roman"/>
                <w:i/>
              </w:rPr>
            </m:ctrlPr>
          </m:sub>
        </m:sSub>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H</m:t>
                </m:r>
                <m:ctrlPr>
                  <w:rPr>
                    <w:rFonts w:ascii="Cambria Math" w:hAnsi="Cambria Math" w:cs="Times New Roman"/>
                    <w:i/>
                  </w:rPr>
                </m:ctrlPr>
              </m:num>
              <m:den>
                <m:r>
                  <m:rPr/>
                  <w:rPr>
                    <w:rFonts w:ascii="Cambria Math" w:hAnsi="Cambria Math" w:cs="Times New Roman"/>
                  </w:rPr>
                  <m:t>2.3</m:t>
                </m:r>
                <m:ctrlPr>
                  <w:rPr>
                    <w:rFonts w:ascii="Cambria Math" w:hAnsi="Cambria Math" w:cs="Times New Roman"/>
                    <w:i/>
                  </w:rPr>
                </m:ctrlPr>
              </m:den>
            </m:f>
            <m:r>
              <m:rPr/>
              <w:rPr>
                <w:rFonts w:ascii="Cambria Math" w:hAnsi="Cambria Math" w:cs="Times New Roman"/>
              </w:rPr>
              <m:t>)</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m:sty m:val="p"/>
              </m:rPr>
              <w:rPr>
                <w:rFonts w:ascii="Cambria Math" w:hAnsi="Cambria Math" w:cs="Times New Roman"/>
              </w:rPr>
              <m:t>E</m:t>
            </m:r>
            <m:ctrlPr>
              <w:rPr>
                <w:rFonts w:ascii="Cambria Math" w:hAnsi="Cambria Math" w:cs="Times New Roman"/>
                <w:i/>
              </w:rPr>
            </m:ctrlPr>
          </m:sub>
        </m:sSub>
      </m:oMath>
      <w:r>
        <w:rPr>
          <w:rFonts w:hint="eastAsia" w:cs="Times New Roman"/>
        </w:rPr>
        <w:t xml:space="preserve">                   （4.2.10-1）</w:t>
      </w:r>
    </w:p>
    <w:p>
      <w:pPr>
        <w:snapToGrid w:val="0"/>
        <w:jc w:val="right"/>
        <w:rPr>
          <w:rFonts w:cs="Times New Roman"/>
        </w:rPr>
      </w:p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m:sty m:val="p"/>
              </m:rPr>
              <w:rPr>
                <w:rFonts w:ascii="Cambria Math" w:hAnsi="Cambria Math" w:cs="Times New Roman"/>
              </w:rPr>
              <m:t>eq</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m:sty m:val="p"/>
              </m:rPr>
              <w:rPr>
                <w:rFonts w:ascii="Cambria Math" w:hAnsi="Cambria Math" w:cs="Times New Roman"/>
              </w:rPr>
              <m:t>r</m:t>
            </m:r>
            <m:ctrlPr>
              <w:rPr>
                <w:rFonts w:ascii="Cambria Math" w:hAnsi="Cambria Math" w:cs="Times New Roman"/>
                <w:i/>
              </w:rPr>
            </m:ctrlPr>
          </m:sub>
        </m:sSub>
      </m:oMath>
      <w:r>
        <w:rPr>
          <w:rFonts w:hint="eastAsia" w:cs="Times New Roman"/>
        </w:rPr>
        <w:t xml:space="preserve">                      （4.2.10-2）</w:t>
      </w:r>
    </w:p>
    <w:p>
      <w:pPr>
        <w:snapToGrid w:val="0"/>
        <w:rPr>
          <w:rFonts w:cs="Times New Roman"/>
        </w:rPr>
      </w:pPr>
      <w:r>
        <w:rPr>
          <w:rFonts w:cs="Times New Roman"/>
        </w:rPr>
        <w:t>式中：</w:t>
      </w:r>
      <w:r>
        <w:rPr>
          <w:rFonts w:cs="Times New Roman"/>
          <w:i/>
          <w:iCs/>
        </w:rPr>
        <w:t>H</w:t>
      </w:r>
      <w:r>
        <w:rPr>
          <w:rFonts w:cs="Times New Roman"/>
        </w:rPr>
        <w:t>——结构层高（m）；</w:t>
      </w:r>
    </w:p>
    <w:p>
      <w:pPr>
        <w:snapToGrid w:val="0"/>
        <w:rPr>
          <w:rFonts w:cs="Times New Roman"/>
        </w:rPr>
      </w:pPr>
      <w:r>
        <w:rPr>
          <w:rFonts w:cs="Times New Roman"/>
        </w:rPr>
        <w:t xml:space="preserve">      </w:t>
      </w: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m:sty m:val="p"/>
              </m:rPr>
              <w:rPr>
                <w:rFonts w:ascii="Cambria Math" w:hAnsi="Cambria Math" w:cs="Times New Roman"/>
              </w:rPr>
              <m:t>E</m:t>
            </m:r>
            <m:ctrlPr>
              <w:rPr>
                <w:rFonts w:ascii="Cambria Math" w:hAnsi="Cambria Math" w:cs="Times New Roman"/>
                <w:i/>
              </w:rPr>
            </m:ctrlPr>
          </m:sub>
        </m:sSub>
      </m:oMath>
      <w:r>
        <w:rPr>
          <w:rFonts w:cs="Times New Roman"/>
        </w:rPr>
        <w:t>——垂直于墙体的水平作用组合设计值（kN/m²）；</w:t>
      </w:r>
    </w:p>
    <w:p>
      <w:pPr>
        <w:pStyle w:val="2"/>
        <w:ind w:firstLine="720" w:firstLineChars="300"/>
      </w:p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m:sty m:val="p"/>
              </m:rPr>
              <w:rPr>
                <w:rFonts w:ascii="Cambria Math" w:hAnsi="Cambria Math" w:cs="Times New Roman"/>
              </w:rPr>
              <m:t>eq</m:t>
            </m:r>
            <m:ctrlPr>
              <w:rPr>
                <w:rFonts w:ascii="Cambria Math" w:hAnsi="Cambria Math" w:cs="Times New Roman"/>
                <w:i/>
              </w:rPr>
            </m:ctrlPr>
          </m:sub>
        </m:sSub>
      </m:oMath>
      <w:r>
        <w:rPr>
          <w:rFonts w:cs="Times New Roman"/>
        </w:rPr>
        <w:t>——墙板等效水平荷载（kN/m²）；</w:t>
      </w:r>
    </w:p>
    <w:p>
      <w:pPr>
        <w:snapToGrid w:val="0"/>
        <w:ind w:firstLine="720" w:firstLineChars="300"/>
        <w:rPr>
          <w:rFonts w:cs="Times New Roman"/>
        </w:rPr>
      </w:pPr>
      <m:oMath>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m:sty m:val="p"/>
              </m:rPr>
              <w:rPr>
                <w:rFonts w:ascii="Cambria Math" w:hAnsi="Cambria Math" w:cs="Times New Roman"/>
              </w:rPr>
              <m:t>r</m:t>
            </m:r>
            <m:ctrlPr>
              <w:rPr>
                <w:rFonts w:ascii="Cambria Math" w:hAnsi="Cambria Math" w:cs="Times New Roman"/>
                <w:i/>
              </w:rPr>
            </m:ctrlPr>
          </m:sub>
        </m:sSub>
      </m:oMath>
      <w:r>
        <w:rPr>
          <w:rFonts w:cs="Times New Roman"/>
        </w:rPr>
        <w:t>——抗弯破坏荷载（kN/m²），当墙厚≤1</w:t>
      </w:r>
      <w:r>
        <w:rPr>
          <w:rFonts w:hint="eastAsia" w:cs="Times New Roman"/>
        </w:rPr>
        <w:t>5</w:t>
      </w:r>
      <w:r>
        <w:rPr>
          <w:rFonts w:cs="Times New Roman"/>
        </w:rPr>
        <w:t>0mm时，抗弯破坏荷载不应小于1.5倍墙体自重，当墙厚&gt;1</w:t>
      </w:r>
      <w:r>
        <w:rPr>
          <w:rFonts w:hint="eastAsia" w:cs="Times New Roman"/>
        </w:rPr>
        <w:t>5</w:t>
      </w:r>
      <w:r>
        <w:rPr>
          <w:rFonts w:cs="Times New Roman"/>
        </w:rPr>
        <w:t>0mm时，抗弯破坏荷载不应小于2倍墙体自重。</w:t>
      </w:r>
    </w:p>
    <w:p>
      <w:pPr>
        <w:snapToGrid w:val="0"/>
        <w:rPr>
          <w:rFonts w:cs="Times New Roman"/>
        </w:rPr>
      </w:pPr>
      <w:r>
        <w:rPr>
          <w:rStyle w:val="22"/>
          <w:rFonts w:ascii="Times New Roman" w:hAnsi="Times New Roman" w:cs="Times New Roman"/>
        </w:rPr>
        <w:t>4.2.</w:t>
      </w:r>
      <w:r>
        <w:rPr>
          <w:rStyle w:val="22"/>
          <w:rFonts w:hint="eastAsia" w:ascii="Times New Roman" w:hAnsi="Times New Roman" w:cs="Times New Roman"/>
        </w:rPr>
        <w:t>4</w:t>
      </w:r>
      <w:r>
        <w:rPr>
          <w:rFonts w:cs="Times New Roman"/>
        </w:rPr>
        <w:t>  </w:t>
      </w:r>
      <w:r>
        <w:rPr>
          <w:rFonts w:hint="eastAsia" w:cs="Times New Roman"/>
        </w:rPr>
        <w:t>墙面板与自攻螺钉连接处所受的局部压力应符合下列规定：</w:t>
      </w:r>
    </w:p>
    <w:p>
      <w:pPr>
        <w:snapToGrid w:val="0"/>
        <w:jc w:val="right"/>
        <w:rPr>
          <w:rFonts w:cs="Times New Roman"/>
        </w:rPr>
      </w:pPr>
      <m:oMath>
        <m:sSub>
          <m:sSubPr>
            <m:ctrlPr>
              <w:rPr>
                <w:rFonts w:ascii="Cambria Math" w:hAnsi="Cambria Math" w:cs="Times New Roman"/>
                <w:i/>
              </w:rPr>
            </m:ctrlPr>
          </m:sSubPr>
          <m:e>
            <m:r>
              <m:rPr/>
              <w:rPr>
                <w:rFonts w:hint="eastAsia" w:ascii="Cambria Math" w:hAnsi="Cambria Math" w:cs="Times New Roman"/>
              </w:rPr>
              <m:t>F</m:t>
            </m:r>
            <m:ctrlPr>
              <w:rPr>
                <w:rFonts w:ascii="Cambria Math" w:hAnsi="Cambria Math" w:cs="Times New Roman"/>
                <w:i/>
              </w:rPr>
            </m:ctrlPr>
          </m:e>
          <m:sub>
            <m:r>
              <m:rPr>
                <m:sty m:val="p"/>
              </m:rPr>
              <w:rPr>
                <w:rFonts w:hint="eastAsia" w:ascii="Cambria Math" w:hAnsi="Cambria Math" w:cs="Times New Roman"/>
              </w:rPr>
              <m:t>l</m:t>
            </m:r>
            <m:ctrlPr>
              <w:rPr>
                <w:rFonts w:ascii="Cambria Math" w:hAnsi="Cambria Math" w:cs="Times New Roman"/>
                <w:i/>
              </w:rPr>
            </m:ctrlPr>
          </m:sub>
        </m:sSub>
        <m:r>
          <m:rPr/>
          <w:rPr>
            <w:rFonts w:hint="eastAsia" w:ascii="Cambria Math" w:hAnsi="Cambria Math" w:cs="Times New Roman"/>
          </w:rPr>
          <m:t>≤ω</m:t>
        </m:r>
        <m:sSub>
          <m:sSubPr>
            <m:ctrlPr>
              <w:rPr>
                <w:rFonts w:ascii="Cambria Math" w:hAnsi="Cambria Math" w:cs="Times New Roman"/>
                <w:i/>
              </w:rPr>
            </m:ctrlPr>
          </m:sSubPr>
          <m:e>
            <m:r>
              <m:rPr/>
              <w:rPr>
                <w:rFonts w:hint="eastAsia" w:ascii="Cambria Math" w:hAnsi="Cambria Math" w:cs="Times New Roman"/>
              </w:rPr>
              <m:t>β</m:t>
            </m:r>
            <m:ctrlPr>
              <w:rPr>
                <w:rFonts w:ascii="Cambria Math" w:hAnsi="Cambria Math" w:cs="Times New Roman"/>
                <w:i/>
              </w:rPr>
            </m:ctrlPr>
          </m:e>
          <m:sub>
            <m:r>
              <m:rPr>
                <m:sty m:val="p"/>
              </m:rPr>
              <w:rPr>
                <w:rFonts w:hint="eastAsia" w:ascii="Cambria Math" w:hAnsi="Cambria Math" w:cs="Times New Roman"/>
              </w:rPr>
              <m:t>l</m:t>
            </m:r>
            <m:ctrlPr>
              <w:rPr>
                <w:rFonts w:ascii="Cambria Math" w:hAnsi="Cambria Math" w:cs="Times New Roman"/>
                <w:i/>
              </w:rPr>
            </m:ctrlPr>
          </m:sub>
        </m:sSub>
        <m:sSub>
          <m:sSubPr>
            <m:ctrlPr>
              <w:rPr>
                <w:rFonts w:ascii="Cambria Math" w:hAnsi="Cambria Math" w:cs="Times New Roman"/>
                <w:i/>
              </w:rPr>
            </m:ctrlPr>
          </m:sSubPr>
          <m:e>
            <m:r>
              <m:rPr/>
              <w:rPr>
                <w:rFonts w:hint="eastAsia" w:ascii="Cambria Math" w:hAnsi="Cambria Math" w:cs="Times New Roman"/>
              </w:rPr>
              <m:t>f</m:t>
            </m:r>
            <m:ctrlPr>
              <w:rPr>
                <w:rFonts w:ascii="Cambria Math" w:hAnsi="Cambria Math" w:cs="Times New Roman"/>
                <w:i/>
              </w:rPr>
            </m:ctrlPr>
          </m:e>
          <m:sub>
            <m:r>
              <m:rPr>
                <m:sty m:val="p"/>
              </m:rPr>
              <w:rPr>
                <w:rFonts w:hint="eastAsia" w:ascii="Cambria Math" w:hAnsi="Cambria Math" w:cs="Times New Roman"/>
              </w:rPr>
              <m:t>cc</m:t>
            </m:r>
            <m:ctrlPr>
              <w:rPr>
                <w:rFonts w:ascii="Cambria Math" w:hAnsi="Cambria Math" w:cs="Times New Roman"/>
                <w:i/>
              </w:rPr>
            </m:ctrlPr>
          </m:sub>
        </m:sSub>
        <m:sSub>
          <m:sSubPr>
            <m:ctrlPr>
              <w:rPr>
                <w:rFonts w:ascii="Cambria Math" w:hAnsi="Cambria Math" w:cs="Times New Roman"/>
                <w:i/>
              </w:rPr>
            </m:ctrlPr>
          </m:sSubPr>
          <m:e>
            <m:r>
              <m:rPr/>
              <w:rPr>
                <w:rFonts w:hint="eastAsia" w:ascii="Cambria Math" w:hAnsi="Cambria Math" w:cs="Times New Roman"/>
              </w:rPr>
              <m:t>A</m:t>
            </m:r>
            <m:ctrlPr>
              <w:rPr>
                <w:rFonts w:ascii="Cambria Math" w:hAnsi="Cambria Math" w:cs="Times New Roman"/>
                <w:i/>
              </w:rPr>
            </m:ctrlPr>
          </m:e>
          <m:sub>
            <m:r>
              <m:rPr>
                <m:sty m:val="p"/>
              </m:rPr>
              <w:rPr>
                <w:rFonts w:hint="eastAsia" w:ascii="Cambria Math" w:hAnsi="Cambria Math" w:cs="Times New Roman"/>
              </w:rPr>
              <m:t>l</m:t>
            </m:r>
            <m:ctrlPr>
              <w:rPr>
                <w:rFonts w:ascii="Cambria Math" w:hAnsi="Cambria Math" w:cs="Times New Roman"/>
                <w:i/>
              </w:rPr>
            </m:ctrlPr>
          </m:sub>
        </m:sSub>
      </m:oMath>
      <w:r>
        <w:rPr>
          <w:rFonts w:cs="Times New Roman"/>
        </w:rPr>
        <w:t xml:space="preserve">                      </w:t>
      </w:r>
      <w:r>
        <w:rPr>
          <w:rFonts w:hint="eastAsia" w:cs="Times New Roman"/>
        </w:rPr>
        <w:t>（</w:t>
      </w:r>
      <w:r>
        <w:rPr>
          <w:rFonts w:cs="Times New Roman"/>
        </w:rPr>
        <w:t>4.2.</w:t>
      </w:r>
      <w:r>
        <w:rPr>
          <w:rFonts w:hint="eastAsia" w:cs="Times New Roman"/>
        </w:rPr>
        <w:t>4）</w:t>
      </w:r>
    </w:p>
    <w:p>
      <w:pPr>
        <w:snapToGrid w:val="0"/>
        <w:rPr>
          <w:rFonts w:cs="Times New Roman"/>
        </w:rPr>
      </w:pPr>
      <w:r>
        <w:rPr>
          <w:rFonts w:hint="eastAsia" w:cs="Times New Roman"/>
        </w:rPr>
        <w:t>式中：</w:t>
      </w:r>
      <m:oMath>
        <m:sSub>
          <m:sSubPr>
            <m:ctrlPr>
              <w:rPr>
                <w:rFonts w:ascii="Cambria Math" w:hAnsi="Cambria Math" w:cs="Times New Roman"/>
                <w:i/>
              </w:rPr>
            </m:ctrlPr>
          </m:sSubPr>
          <m:e>
            <m:r>
              <m:rPr/>
              <w:rPr>
                <w:rFonts w:hint="eastAsia" w:ascii="Cambria Math" w:hAnsi="Cambria Math" w:cs="Times New Roman"/>
              </w:rPr>
              <m:t>A</m:t>
            </m:r>
            <m:ctrlPr>
              <w:rPr>
                <w:rFonts w:ascii="Cambria Math" w:hAnsi="Cambria Math" w:cs="Times New Roman"/>
                <w:i/>
              </w:rPr>
            </m:ctrlPr>
          </m:e>
          <m:sub>
            <m:r>
              <m:rPr>
                <m:sty m:val="p"/>
              </m:rPr>
              <w:rPr>
                <w:rFonts w:hint="eastAsia" w:ascii="Cambria Math" w:hAnsi="Cambria Math" w:cs="Times New Roman"/>
              </w:rPr>
              <m:t>l</m:t>
            </m:r>
            <m:ctrlPr>
              <w:rPr>
                <w:rFonts w:ascii="Cambria Math" w:hAnsi="Cambria Math" w:cs="Times New Roman"/>
                <w:i/>
              </w:rPr>
            </m:ctrlPr>
          </m:sub>
        </m:sSub>
      </m:oMath>
      <w:r>
        <w:rPr>
          <w:rFonts w:cs="Times New Roman"/>
        </w:rPr>
        <w:t>——</w:t>
      </w:r>
      <w:r>
        <w:rPr>
          <w:rFonts w:hint="eastAsia" w:cs="Times New Roman"/>
        </w:rPr>
        <w:t>混凝土局部受压面积，应按现行国家标准《混凝土结构设计规范》</w:t>
      </w:r>
      <w:r>
        <w:rPr>
          <w:rFonts w:cs="Times New Roman"/>
        </w:rPr>
        <w:t>GB 50010</w:t>
      </w:r>
      <w:r>
        <w:rPr>
          <w:rFonts w:hint="eastAsia" w:cs="Times New Roman"/>
        </w:rPr>
        <w:t>的有关规定进行计算；</w:t>
      </w:r>
    </w:p>
    <w:p>
      <w:pPr>
        <w:snapToGrid w:val="0"/>
        <w:ind w:firstLine="720" w:firstLineChars="300"/>
        <w:rPr>
          <w:rFonts w:cs="Times New Roman"/>
        </w:rPr>
      </w:pPr>
      <m:oMath>
        <m:sSub>
          <m:sSubPr>
            <m:ctrlPr>
              <w:rPr>
                <w:rFonts w:ascii="Cambria Math" w:hAnsi="Cambria Math" w:cs="Times New Roman"/>
                <w:i/>
              </w:rPr>
            </m:ctrlPr>
          </m:sSubPr>
          <m:e>
            <m:r>
              <m:rPr/>
              <w:rPr>
                <w:rFonts w:hint="eastAsia" w:ascii="Cambria Math" w:hAnsi="Cambria Math" w:cs="Times New Roman"/>
              </w:rPr>
              <m:t>F</m:t>
            </m:r>
            <m:ctrlPr>
              <w:rPr>
                <w:rFonts w:ascii="Cambria Math" w:hAnsi="Cambria Math" w:cs="Times New Roman"/>
                <w:i/>
              </w:rPr>
            </m:ctrlPr>
          </m:e>
          <m:sub>
            <m:r>
              <m:rPr>
                <m:sty m:val="p"/>
              </m:rPr>
              <w:rPr>
                <w:rFonts w:hint="eastAsia" w:ascii="Cambria Math" w:hAnsi="Cambria Math" w:cs="Times New Roman"/>
              </w:rPr>
              <m:t>l</m:t>
            </m:r>
            <m:ctrlPr>
              <w:rPr>
                <w:rFonts w:ascii="Cambria Math" w:hAnsi="Cambria Math" w:cs="Times New Roman"/>
                <w:i/>
              </w:rPr>
            </m:ctrlPr>
          </m:sub>
        </m:sSub>
      </m:oMath>
      <w:r>
        <w:rPr>
          <w:rFonts w:cs="Times New Roman"/>
        </w:rPr>
        <w:t>——</w:t>
      </w:r>
      <w:r>
        <w:rPr>
          <w:rFonts w:hint="eastAsia" w:cs="Times New Roman"/>
        </w:rPr>
        <w:t>局部受压面上作用的局部荷载或局部压力设计值（</w:t>
      </w:r>
      <w:r>
        <w:rPr>
          <w:rFonts w:cs="Times New Roman"/>
        </w:rPr>
        <w:t>kN</w:t>
      </w:r>
      <w:r>
        <w:rPr>
          <w:rFonts w:hint="eastAsia" w:cs="Times New Roman"/>
        </w:rPr>
        <w:t>）；</w:t>
      </w:r>
    </w:p>
    <w:p>
      <w:pPr>
        <w:pStyle w:val="2"/>
        <w:ind w:firstLine="720" w:firstLineChars="300"/>
        <w:rPr>
          <w:rFonts w:cs="Times New Roman"/>
        </w:rPr>
      </w:pPr>
      <m:oMath>
        <m:sSub>
          <m:sSubPr>
            <m:ctrlPr>
              <w:rPr>
                <w:rFonts w:ascii="Cambria Math" w:hAnsi="Cambria Math" w:cs="Times New Roman"/>
                <w:i/>
              </w:rPr>
            </m:ctrlPr>
          </m:sSubPr>
          <m:e>
            <m:r>
              <m:rPr/>
              <w:rPr>
                <w:rFonts w:hint="eastAsia" w:ascii="Cambria Math" w:hAnsi="Cambria Math" w:cs="Times New Roman"/>
              </w:rPr>
              <m:t>f</m:t>
            </m:r>
            <m:ctrlPr>
              <w:rPr>
                <w:rFonts w:ascii="Cambria Math" w:hAnsi="Cambria Math" w:cs="Times New Roman"/>
                <w:i/>
              </w:rPr>
            </m:ctrlPr>
          </m:e>
          <m:sub>
            <m:r>
              <m:rPr>
                <m:sty m:val="p"/>
              </m:rPr>
              <w:rPr>
                <w:rFonts w:hint="eastAsia" w:ascii="Cambria Math" w:hAnsi="Cambria Math" w:cs="Times New Roman"/>
              </w:rPr>
              <m:t>cc</m:t>
            </m:r>
            <m:ctrlPr>
              <w:rPr>
                <w:rFonts w:ascii="Cambria Math" w:hAnsi="Cambria Math" w:cs="Times New Roman"/>
                <w:i/>
              </w:rPr>
            </m:ctrlPr>
          </m:sub>
        </m:sSub>
      </m:oMath>
      <w:r>
        <w:rPr>
          <w:rFonts w:cs="Times New Roman"/>
        </w:rPr>
        <w:t>——</w:t>
      </w:r>
      <w:r>
        <w:rPr>
          <w:rFonts w:hint="eastAsia" w:cs="Times New Roman"/>
        </w:rPr>
        <w:t>素混凝土轴心抗压强度设计值（</w:t>
      </w:r>
      <w:r>
        <w:rPr>
          <w:rFonts w:cs="Times New Roman"/>
        </w:rPr>
        <w:t>N</w:t>
      </w:r>
      <w:r>
        <w:rPr>
          <w:rFonts w:hint="eastAsia" w:cs="Times New Roman"/>
        </w:rPr>
        <w:t>／</w:t>
      </w:r>
      <w:r>
        <w:rPr>
          <w:rFonts w:cs="Times New Roman"/>
        </w:rPr>
        <w:t>mm²</w:t>
      </w:r>
      <w:r>
        <w:rPr>
          <w:rFonts w:hint="eastAsia" w:cs="Times New Roman"/>
        </w:rPr>
        <w:t>），按混凝土轴心抗压强度设计值乘以系数</w:t>
      </w:r>
      <w:r>
        <w:rPr>
          <w:rFonts w:cs="Times New Roman"/>
        </w:rPr>
        <w:t>0.85</w:t>
      </w:r>
      <w:r>
        <w:rPr>
          <w:rFonts w:hint="eastAsia" w:cs="Times New Roman"/>
        </w:rPr>
        <w:t>取用；</w:t>
      </w:r>
    </w:p>
    <w:p>
      <w:pPr>
        <w:pStyle w:val="2"/>
        <w:ind w:firstLine="720" w:firstLineChars="300"/>
        <w:rPr>
          <w:rFonts w:cs="Times New Roman"/>
        </w:rPr>
      </w:pPr>
      <m:oMath>
        <m:sSub>
          <m:sSubPr>
            <m:ctrlPr>
              <w:rPr>
                <w:rFonts w:ascii="Cambria Math" w:hAnsi="Cambria Math" w:cs="Times New Roman"/>
                <w:i/>
              </w:rPr>
            </m:ctrlPr>
          </m:sSubPr>
          <m:e>
            <m:r>
              <m:rPr/>
              <w:rPr>
                <w:rFonts w:hint="eastAsia" w:ascii="Cambria Math" w:hAnsi="Cambria Math" w:cs="Times New Roman"/>
              </w:rPr>
              <m:t>β</m:t>
            </m:r>
            <m:ctrlPr>
              <w:rPr>
                <w:rFonts w:ascii="Cambria Math" w:hAnsi="Cambria Math" w:cs="Times New Roman"/>
                <w:i/>
              </w:rPr>
            </m:ctrlPr>
          </m:e>
          <m:sub>
            <m:r>
              <m:rPr>
                <m:sty m:val="p"/>
              </m:rPr>
              <w:rPr>
                <w:rFonts w:hint="eastAsia" w:ascii="Cambria Math" w:hAnsi="Cambria Math" w:cs="Times New Roman"/>
              </w:rPr>
              <m:t>l</m:t>
            </m:r>
            <m:ctrlPr>
              <w:rPr>
                <w:rFonts w:ascii="Cambria Math" w:hAnsi="Cambria Math" w:cs="Times New Roman"/>
                <w:i/>
              </w:rPr>
            </m:ctrlPr>
          </m:sub>
        </m:sSub>
      </m:oMath>
      <w:r>
        <w:rPr>
          <w:rFonts w:cs="Times New Roman"/>
        </w:rPr>
        <w:t>——</w:t>
      </w:r>
      <w:r>
        <w:rPr>
          <w:rFonts w:hint="eastAsia" w:cs="Times New Roman"/>
        </w:rPr>
        <w:t>混凝土受压时的强度提高系数，应按现行国家标准《混凝土结构设计规范》</w:t>
      </w:r>
      <w:r>
        <w:rPr>
          <w:rFonts w:cs="Times New Roman"/>
        </w:rPr>
        <w:t>GB 50010</w:t>
      </w:r>
      <w:r>
        <w:rPr>
          <w:rFonts w:hint="eastAsia" w:cs="Times New Roman"/>
        </w:rPr>
        <w:t>的有关规定进行计算；</w:t>
      </w:r>
    </w:p>
    <w:p>
      <w:pPr>
        <w:snapToGrid w:val="0"/>
        <w:ind w:firstLine="720" w:firstLineChars="300"/>
        <w:rPr>
          <w:rFonts w:ascii="楷体" w:hAnsi="楷体" w:eastAsia="楷体" w:cs="Times New Roman"/>
          <w:sz w:val="21"/>
          <w:szCs w:val="21"/>
        </w:rPr>
      </w:pPr>
      <m:oMath>
        <m:r>
          <m:rPr/>
          <w:rPr>
            <w:rFonts w:hint="eastAsia" w:ascii="Cambria Math" w:hAnsi="Cambria Math" w:cs="Times New Roman"/>
          </w:rPr>
          <m:t>ω</m:t>
        </m:r>
      </m:oMath>
      <w:r>
        <w:rPr>
          <w:rFonts w:cs="Times New Roman"/>
        </w:rPr>
        <w:t>——</w:t>
      </w:r>
      <w:r>
        <w:rPr>
          <w:rFonts w:hint="eastAsia" w:cs="Times New Roman"/>
        </w:rPr>
        <w:t>荷载分布的影响系数，应取</w:t>
      </w:r>
      <w:r>
        <w:rPr>
          <w:rFonts w:cs="Times New Roman"/>
        </w:rPr>
        <w:t>1.0</w:t>
      </w:r>
      <w:r>
        <w:rPr>
          <w:rFonts w:hint="eastAsia" w:cs="Times New Roman"/>
        </w:rPr>
        <w:t>。</w:t>
      </w:r>
      <w:r>
        <w:rPr>
          <w:rFonts w:cs="Times New Roman"/>
        </w:rPr>
        <w:t xml:space="preserve">   </w:t>
      </w:r>
    </w:p>
    <w:p>
      <w:pPr>
        <w:snapToGrid w:val="0"/>
      </w:pPr>
      <w:r>
        <w:rPr>
          <w:rStyle w:val="22"/>
          <w:rFonts w:hint="eastAsia" w:ascii="Times New Roman" w:hAnsi="Times New Roman" w:cs="Times New Roman"/>
        </w:rPr>
        <w:t>4.2.5 </w:t>
      </w:r>
      <w:r>
        <w:rPr>
          <w:rFonts w:hint="eastAsia"/>
        </w:rPr>
        <w:t>装配式复合轻质墙体面板之间、面板与结构之间的连接件的设计应符合下列要求：</w:t>
      </w:r>
    </w:p>
    <w:p>
      <w:pPr>
        <w:snapToGrid w:val="0"/>
        <w:jc w:val="right"/>
        <w:rPr>
          <w:rFonts w:hint="eastAsia" w:hAnsi="Cambria Math" w:cs="宋体"/>
        </w:rPr>
      </w:pP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r>
          <m:rPr/>
          <w:rPr>
            <w:rFonts w:hint="eastAsia" w:ascii="Cambria Math" w:hAnsi="Cambria Math" w:cs="宋体"/>
          </w:rPr>
          <m:t>=</m:t>
        </m:r>
        <m:f>
          <m:fPr>
            <m:ctrlPr>
              <w:rPr>
                <w:rFonts w:hint="eastAsia" w:ascii="Cambria Math" w:hAnsi="Cambria Math" w:cs="宋体"/>
                <w:i/>
              </w:rPr>
            </m:ctrlPr>
          </m:fPr>
          <m:num>
            <m:r>
              <m:rPr/>
              <w:rPr>
                <w:rFonts w:ascii="Cambria Math" w:hAnsi="Cambria Math" w:cs="宋体"/>
              </w:rPr>
              <m:t>N</m:t>
            </m:r>
            <m:ctrlPr>
              <w:rPr>
                <w:rFonts w:hint="eastAsia" w:ascii="Cambria Math" w:hAnsi="Cambria Math" w:cs="宋体"/>
                <w:i/>
              </w:rPr>
            </m:ctrlPr>
          </m:num>
          <m:den>
            <m:sSub>
              <m:sSubPr>
                <m:ctrlPr>
                  <w:rPr>
                    <w:rFonts w:hint="eastAsia" w:ascii="Cambria Math" w:hAnsi="Cambria Math" w:cs="宋体"/>
                    <w:i/>
                  </w:rPr>
                </m:ctrlPr>
              </m:sSubPr>
              <m:e>
                <m:r>
                  <m:rPr/>
                  <w:rPr>
                    <w:rFonts w:ascii="Cambria Math" w:hAnsi="Cambria Math" w:cs="宋体"/>
                  </w:rPr>
                  <m:t>A</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ctrlPr>
              <w:rPr>
                <w:rFonts w:hint="eastAsia" w:ascii="Cambria Math" w:hAnsi="Cambria Math" w:cs="宋体"/>
                <w:i/>
              </w:rPr>
            </m:ctrlPr>
          </m:den>
        </m:f>
        <m:r>
          <m:rPr/>
          <w:rPr>
            <w:rFonts w:hint="eastAsia" w:ascii="Cambria Math" w:hAnsi="Cambria Math" w:cs="宋体"/>
          </w:rPr>
          <m:t>≤</m:t>
        </m:r>
        <m:r>
          <m:rPr/>
          <w:rPr>
            <w:rFonts w:ascii="Cambria Math" w:hAnsi="Cambria Math" w:cs="宋体"/>
          </w:rPr>
          <m:t>f</m:t>
        </m:r>
      </m:oMath>
      <w:r>
        <w:rPr>
          <w:rFonts w:hint="eastAsia" w:hAnsi="Cambria Math" w:cs="宋体"/>
        </w:rPr>
        <w:t xml:space="preserve">                  </w:t>
      </w:r>
      <w:r>
        <w:rPr>
          <w:rFonts w:hint="eastAsia" w:cs="Times New Roman"/>
        </w:rPr>
        <w:t>（4.2.5-1）</w:t>
      </w:r>
    </w:p>
    <w:p>
      <w:pPr>
        <w:snapToGrid w:val="0"/>
        <w:jc w:val="right"/>
        <w:rPr>
          <w:rFonts w:hint="eastAsia" w:hAnsi="Cambria Math" w:cs="宋体"/>
        </w:rPr>
      </w:pP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hint="eastAsia" w:ascii="Cambria Math" w:hAnsi="Cambria Math" w:cs="宋体"/>
              </w:rPr>
              <m:t>M</m:t>
            </m:r>
            <m:ctrlPr>
              <w:rPr>
                <w:rFonts w:hint="eastAsia" w:ascii="Cambria Math" w:hAnsi="Cambria Math" w:cs="宋体"/>
                <w:i/>
              </w:rPr>
            </m:ctrlPr>
          </m:sub>
        </m:sSub>
        <m:r>
          <m:rPr/>
          <w:rPr>
            <w:rFonts w:hint="eastAsia" w:ascii="Cambria Math" w:hAnsi="Cambria Math" w:cs="宋体"/>
          </w:rPr>
          <m:t>=</m:t>
        </m:r>
        <m:f>
          <m:fPr>
            <m:ctrlPr>
              <w:rPr>
                <w:rFonts w:hint="eastAsia" w:ascii="Cambria Math" w:hAnsi="Cambria Math" w:cs="宋体"/>
                <w:i/>
              </w:rPr>
            </m:ctrlPr>
          </m:fPr>
          <m:num>
            <m:sSub>
              <m:sSubPr>
                <m:ctrlPr>
                  <w:rPr>
                    <w:rFonts w:hint="eastAsia" w:ascii="Cambria Math" w:hAnsi="Cambria Math" w:cs="宋体"/>
                    <w:i/>
                  </w:rPr>
                </m:ctrlPr>
              </m:sSubPr>
              <m:e>
                <m:r>
                  <m:rPr/>
                  <w:rPr>
                    <w:rFonts w:ascii="Cambria Math" w:hAnsi="Cambria Math" w:cs="宋体"/>
                  </w:rPr>
                  <m:t>q</m:t>
                </m:r>
                <m:ctrlPr>
                  <w:rPr>
                    <w:rFonts w:hint="eastAsia" w:ascii="Cambria Math" w:hAnsi="Cambria Math" w:cs="宋体"/>
                    <w:i/>
                  </w:rPr>
                </m:ctrlPr>
              </m:e>
              <m:sub>
                <m:r>
                  <m:rPr>
                    <m:sty m:val="p"/>
                  </m:rPr>
                  <w:rPr>
                    <w:rFonts w:ascii="Cambria Math" w:hAnsi="Cambria Math" w:cs="宋体"/>
                  </w:rPr>
                  <m:t>E</m:t>
                </m:r>
                <m:ctrlPr>
                  <w:rPr>
                    <w:rFonts w:hint="eastAsia" w:ascii="Cambria Math" w:hAnsi="Cambria Math" w:cs="宋体"/>
                    <w:i/>
                  </w:rPr>
                </m:ctrlPr>
              </m:sub>
            </m:sSub>
            <m:r>
              <m:rPr/>
              <w:rPr>
                <w:rFonts w:ascii="Cambria Math" w:hAnsi="Cambria Math" w:cs="宋体"/>
              </w:rPr>
              <m:t>Hab</m:t>
            </m:r>
            <m:ctrlPr>
              <w:rPr>
                <w:rFonts w:hint="eastAsia" w:ascii="Cambria Math" w:hAnsi="Cambria Math" w:cs="宋体"/>
                <w:i/>
              </w:rPr>
            </m:ctrlPr>
          </m:num>
          <m:den>
            <m:r>
              <m:rPr/>
              <w:rPr>
                <w:rFonts w:ascii="Cambria Math" w:hAnsi="Cambria Math" w:cs="宋体"/>
              </w:rPr>
              <m:t>2</m:t>
            </m:r>
            <m:sSub>
              <m:sSubPr>
                <m:ctrlPr>
                  <w:rPr>
                    <w:rFonts w:hint="eastAsia" w:ascii="Cambria Math" w:hAnsi="Cambria Math" w:cs="宋体"/>
                    <w:i/>
                  </w:rPr>
                </m:ctrlPr>
              </m:sSubPr>
              <m:e>
                <m:r>
                  <m:rPr/>
                  <w:rPr>
                    <w:rFonts w:ascii="Cambria Math" w:hAnsi="Cambria Math" w:cs="宋体"/>
                  </w:rPr>
                  <m:t>W</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ctrlPr>
              <w:rPr>
                <w:rFonts w:hint="eastAsia" w:ascii="Cambria Math" w:hAnsi="Cambria Math" w:cs="宋体"/>
                <w:i/>
              </w:rPr>
            </m:ctrlPr>
          </m:den>
        </m:f>
        <m:r>
          <m:rPr/>
          <w:rPr>
            <w:rFonts w:hint="eastAsia" w:ascii="Cambria Math" w:hAnsi="Cambria Math" w:cs="宋体"/>
          </w:rPr>
          <m:t>≤</m:t>
        </m:r>
        <m:r>
          <m:rPr/>
          <w:rPr>
            <w:rFonts w:ascii="Cambria Math" w:hAnsi="Cambria Math" w:cs="宋体"/>
          </w:rPr>
          <m:t>f</m:t>
        </m:r>
      </m:oMath>
      <w:r>
        <w:rPr>
          <w:rFonts w:hint="eastAsia" w:hAnsi="Cambria Math" w:cs="宋体"/>
        </w:rPr>
        <w:t xml:space="preserve">                </w:t>
      </w:r>
      <w:r>
        <w:rPr>
          <w:rFonts w:hint="eastAsia" w:cs="Times New Roman"/>
        </w:rPr>
        <w:t>（4.2.5-2）</w:t>
      </w:r>
    </w:p>
    <w:p>
      <w:pPr>
        <w:snapToGrid w:val="0"/>
        <w:jc w:val="right"/>
        <w:rPr>
          <w:rFonts w:hint="eastAsia" w:hAnsi="Cambria Math" w:cs="宋体"/>
        </w:rPr>
      </w:pPr>
      <m:oMath>
        <m:r>
          <m:rPr/>
          <w:rPr>
            <w:rFonts w:ascii="Cambria Math" w:hAnsi="Cambria Math" w:cs="宋体"/>
          </w:rPr>
          <m:t>τ</m:t>
        </m:r>
        <m:r>
          <m:rPr/>
          <w:rPr>
            <w:rFonts w:hint="eastAsia" w:ascii="Cambria Math" w:hAnsi="Cambria Math" w:cs="宋体"/>
          </w:rPr>
          <m:t>=</m:t>
        </m:r>
        <m:f>
          <m:fPr>
            <m:ctrlPr>
              <w:rPr>
                <w:rFonts w:hint="eastAsia" w:ascii="Cambria Math" w:hAnsi="Cambria Math" w:cs="宋体"/>
                <w:i/>
              </w:rPr>
            </m:ctrlPr>
          </m:fPr>
          <m:num>
            <m:sSub>
              <m:sSubPr>
                <m:ctrlPr>
                  <w:rPr>
                    <w:rFonts w:hint="eastAsia" w:ascii="Cambria Math" w:hAnsi="Cambria Math" w:cs="宋体"/>
                    <w:i/>
                  </w:rPr>
                </m:ctrlPr>
              </m:sSubPr>
              <m:e>
                <m:r>
                  <m:rPr/>
                  <w:rPr>
                    <w:rFonts w:ascii="Cambria Math" w:hAnsi="Cambria Math" w:cs="宋体"/>
                  </w:rPr>
                  <m:t>q</m:t>
                </m:r>
                <m:ctrlPr>
                  <w:rPr>
                    <w:rFonts w:hint="eastAsia" w:ascii="Cambria Math" w:hAnsi="Cambria Math" w:cs="宋体"/>
                    <w:i/>
                  </w:rPr>
                </m:ctrlPr>
              </m:e>
              <m:sub>
                <m:r>
                  <m:rPr>
                    <m:sty m:val="p"/>
                  </m:rPr>
                  <w:rPr>
                    <w:rFonts w:ascii="Cambria Math" w:hAnsi="Cambria Math" w:cs="宋体"/>
                  </w:rPr>
                  <m:t>E</m:t>
                </m:r>
                <m:ctrlPr>
                  <w:rPr>
                    <w:rFonts w:hint="eastAsia" w:ascii="Cambria Math" w:hAnsi="Cambria Math" w:cs="宋体"/>
                    <w:i/>
                  </w:rPr>
                </m:ctrlPr>
              </m:sub>
            </m:sSub>
            <m:r>
              <m:rPr/>
              <w:rPr>
                <w:rFonts w:ascii="Cambria Math" w:hAnsi="Cambria Math" w:cs="宋体"/>
              </w:rPr>
              <m:t>Hb</m:t>
            </m:r>
            <m:ctrlPr>
              <w:rPr>
                <w:rFonts w:hint="eastAsia" w:ascii="Cambria Math" w:hAnsi="Cambria Math" w:cs="宋体"/>
                <w:i/>
              </w:rPr>
            </m:ctrlPr>
          </m:num>
          <m:den>
            <m:r>
              <m:rPr/>
              <w:rPr>
                <w:rFonts w:ascii="Cambria Math" w:hAnsi="Cambria Math" w:cs="宋体"/>
              </w:rPr>
              <m:t>2</m:t>
            </m:r>
            <m:sSub>
              <m:sSubPr>
                <m:ctrlPr>
                  <w:rPr>
                    <w:rFonts w:hint="eastAsia" w:ascii="Cambria Math" w:hAnsi="Cambria Math" w:cs="宋体"/>
                    <w:i/>
                  </w:rPr>
                </m:ctrlPr>
              </m:sSubPr>
              <m:e>
                <m:r>
                  <m:rPr/>
                  <w:rPr>
                    <w:rFonts w:ascii="Cambria Math" w:hAnsi="Cambria Math" w:cs="宋体"/>
                  </w:rPr>
                  <m:t>A</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ctrlPr>
              <w:rPr>
                <w:rFonts w:hint="eastAsia" w:ascii="Cambria Math" w:hAnsi="Cambria Math" w:cs="宋体"/>
                <w:i/>
              </w:rPr>
            </m:ctrlPr>
          </m:den>
        </m:f>
        <m:r>
          <m:rPr/>
          <w:rPr>
            <w:rFonts w:hint="eastAsia" w:ascii="Cambria Math" w:hAnsi="Cambria Math" w:cs="宋体"/>
          </w:rPr>
          <m:t>≤</m:t>
        </m:r>
        <m:sSub>
          <m:sSubPr>
            <m:ctrlPr>
              <w:rPr>
                <w:rFonts w:hint="eastAsia" w:ascii="Cambria Math" w:hAnsi="Cambria Math" w:cs="宋体"/>
                <w:i/>
              </w:rPr>
            </m:ctrlPr>
          </m:sSubPr>
          <m:e>
            <m:r>
              <m:rPr/>
              <w:rPr>
                <w:rFonts w:ascii="Cambria Math" w:hAnsi="Cambria Math" w:cs="宋体"/>
              </w:rPr>
              <m:t>f</m:t>
            </m:r>
            <m:ctrlPr>
              <w:rPr>
                <w:rFonts w:hint="eastAsia" w:ascii="Cambria Math" w:hAnsi="Cambria Math" w:cs="宋体"/>
                <w:i/>
              </w:rPr>
            </m:ctrlPr>
          </m:e>
          <m:sub>
            <m:r>
              <m:rPr>
                <m:sty m:val="p"/>
              </m:rPr>
              <w:rPr>
                <w:rFonts w:hint="eastAsia" w:ascii="Cambria Math" w:hAnsi="Cambria Math" w:cs="宋体"/>
              </w:rPr>
              <m:t>v</m:t>
            </m:r>
            <m:ctrlPr>
              <w:rPr>
                <w:rFonts w:hint="eastAsia" w:ascii="Cambria Math" w:hAnsi="Cambria Math" w:cs="宋体"/>
                <w:i/>
              </w:rPr>
            </m:ctrlPr>
          </m:sub>
        </m:sSub>
      </m:oMath>
      <w:r>
        <w:rPr>
          <w:rFonts w:hint="eastAsia" w:hAnsi="Cambria Math" w:cs="宋体"/>
        </w:rPr>
        <w:t xml:space="preserve">                 </w:t>
      </w:r>
      <w:r>
        <w:rPr>
          <w:rFonts w:hint="eastAsia" w:cs="Times New Roman"/>
        </w:rPr>
        <w:t>（4.2.5-3）</w:t>
      </w:r>
    </w:p>
    <w:p>
      <w:pPr>
        <w:snapToGrid w:val="0"/>
        <w:rPr>
          <w:rFonts w:hint="eastAsia" w:hAnsi="Cambria Math" w:cs="宋体"/>
        </w:rPr>
      </w:pPr>
      <w:r>
        <w:rPr>
          <w:rFonts w:hint="eastAsia"/>
        </w:rPr>
        <w:t>式中：</w:t>
      </w:r>
      <m:oMath>
        <m:sSub>
          <m:sSubPr>
            <m:ctrlPr>
              <w:rPr>
                <w:rFonts w:hint="eastAsia" w:ascii="Cambria Math" w:hAnsi="Cambria Math" w:cs="宋体"/>
                <w:i/>
              </w:rPr>
            </m:ctrlPr>
          </m:sSubPr>
          <m:e>
            <m:r>
              <m:rPr/>
              <w:rPr>
                <w:rFonts w:ascii="Cambria Math" w:hAnsi="Cambria Math" w:cs="宋体"/>
              </w:rPr>
              <m:t>A</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oMath>
      <w:r>
        <w:t>——</w:t>
      </w:r>
      <w:r>
        <w:rPr>
          <w:rFonts w:hint="eastAsia" w:hAnsi="Cambria Math" w:cs="宋体"/>
        </w:rPr>
        <w:t>连接件在荷载作用方向净截面面积（mm²）；</w:t>
      </w:r>
    </w:p>
    <w:p>
      <w:pPr>
        <w:pStyle w:val="2"/>
        <w:ind w:firstLine="720" w:firstLineChars="300"/>
      </w:pPr>
      <w:r>
        <w:rPr>
          <w:rFonts w:hint="eastAsia"/>
        </w:rPr>
        <w:t>a</w:t>
      </w:r>
      <w:r>
        <w:t>——</w:t>
      </w:r>
      <w:r>
        <w:rPr>
          <w:rFonts w:hint="eastAsia"/>
        </w:rPr>
        <w:t>墙体荷载作用点至连接件根部距离（mm）；</w:t>
      </w:r>
    </w:p>
    <w:p>
      <w:pPr>
        <w:snapToGrid w:val="0"/>
        <w:ind w:firstLine="720" w:firstLineChars="300"/>
        <w:rPr>
          <w:rFonts w:hint="eastAsia" w:hAnsi="Cambria Math" w:cs="宋体"/>
        </w:rPr>
      </w:pPr>
      <w:r>
        <w:rPr>
          <w:rFonts w:hint="eastAsia"/>
        </w:rPr>
        <w:t>b</w:t>
      </w:r>
      <w:r>
        <w:t>——</w:t>
      </w:r>
      <w:r>
        <w:rPr>
          <w:rFonts w:hint="eastAsia"/>
        </w:rPr>
        <w:t>墙体宽度（mm）；</w:t>
      </w:r>
    </w:p>
    <w:p>
      <w:pPr>
        <w:snapToGrid w:val="0"/>
      </w:pPr>
      <w:r>
        <w:rPr>
          <w:rFonts w:hint="eastAsia"/>
        </w:rPr>
        <w:t xml:space="preserve">      </w:t>
      </w:r>
      <w:r>
        <w:rPr>
          <w:rFonts w:hint="eastAsia"/>
          <w:i/>
          <w:iCs/>
        </w:rPr>
        <w:t>f</w:t>
      </w:r>
      <w:r>
        <w:t>——</w:t>
      </w:r>
      <w:r>
        <w:rPr>
          <w:rFonts w:hint="eastAsia"/>
        </w:rPr>
        <w:t>连接件的抗拉、抗压和抗弯强度设计值（N／</w:t>
      </w:r>
      <w:r>
        <w:t>mm</w:t>
      </w:r>
      <w:r>
        <w:rPr>
          <w:rFonts w:hint="eastAsia"/>
        </w:rPr>
        <w:t>²）；</w:t>
      </w:r>
    </w:p>
    <w:p>
      <w:pPr>
        <w:snapToGrid w:val="0"/>
        <w:ind w:firstLine="720" w:firstLineChars="300"/>
      </w:pPr>
      <m:oMath>
        <m:sSub>
          <m:sSubPr>
            <m:ctrlPr>
              <w:rPr>
                <w:rFonts w:hint="eastAsia" w:ascii="Cambria Math" w:hAnsi="Cambria Math" w:cs="宋体"/>
                <w:i/>
              </w:rPr>
            </m:ctrlPr>
          </m:sSubPr>
          <m:e>
            <m:r>
              <m:rPr/>
              <w:rPr>
                <w:rFonts w:ascii="Cambria Math" w:hAnsi="Cambria Math" w:cs="宋体"/>
              </w:rPr>
              <m:t>f</m:t>
            </m:r>
            <m:ctrlPr>
              <w:rPr>
                <w:rFonts w:hint="eastAsia" w:ascii="Cambria Math" w:hAnsi="Cambria Math" w:cs="宋体"/>
                <w:i/>
              </w:rPr>
            </m:ctrlPr>
          </m:e>
          <m:sub>
            <m:r>
              <m:rPr>
                <m:sty m:val="p"/>
              </m:rPr>
              <w:rPr>
                <w:rFonts w:hint="eastAsia" w:ascii="Cambria Math" w:hAnsi="Cambria Math" w:cs="宋体"/>
              </w:rPr>
              <m:t>v</m:t>
            </m:r>
            <m:ctrlPr>
              <w:rPr>
                <w:rFonts w:hint="eastAsia" w:ascii="Cambria Math" w:hAnsi="Cambria Math" w:cs="宋体"/>
                <w:i/>
              </w:rPr>
            </m:ctrlPr>
          </m:sub>
        </m:sSub>
      </m:oMath>
      <w:r>
        <w:t>——</w:t>
      </w:r>
      <w:r>
        <w:rPr>
          <w:rFonts w:hint="eastAsia"/>
        </w:rPr>
        <w:t>连接件的抗剪强度设计值（N／</w:t>
      </w:r>
      <w:r>
        <w:t>mm</w:t>
      </w:r>
      <w:r>
        <w:rPr>
          <w:rFonts w:hint="eastAsia"/>
        </w:rPr>
        <w:t>²）；</w:t>
      </w:r>
    </w:p>
    <w:p>
      <w:pPr>
        <w:pStyle w:val="2"/>
        <w:ind w:firstLine="720" w:firstLineChars="300"/>
      </w:pPr>
      <m:oMath>
        <m:r>
          <m:rPr/>
          <w:rPr>
            <w:rFonts w:ascii="Cambria Math" w:hAnsi="Cambria Math" w:cs="宋体"/>
          </w:rPr>
          <m:t>N</m:t>
        </m:r>
      </m:oMath>
      <w:r>
        <w:t>——</w:t>
      </w:r>
      <w:r>
        <w:rPr>
          <w:rFonts w:hint="eastAsia"/>
        </w:rPr>
        <w:t>墙体竖向荷载设计值（N）；</w:t>
      </w:r>
    </w:p>
    <w:p>
      <w:pPr>
        <w:pStyle w:val="2"/>
        <w:ind w:firstLine="720" w:firstLineChars="300"/>
      </w:pPr>
      <m:oMath>
        <m:sSub>
          <m:sSubPr>
            <m:ctrlPr>
              <w:rPr>
                <w:rFonts w:hint="eastAsia" w:ascii="Cambria Math" w:hAnsi="Cambria Math" w:cs="宋体"/>
                <w:i/>
              </w:rPr>
            </m:ctrlPr>
          </m:sSubPr>
          <m:e>
            <m:r>
              <m:rPr/>
              <w:rPr>
                <w:rFonts w:ascii="Cambria Math" w:hAnsi="Cambria Math" w:cs="宋体"/>
              </w:rPr>
              <m:t>W</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oMath>
      <w:r>
        <w:t>——</w:t>
      </w:r>
      <w:r>
        <w:rPr>
          <w:rFonts w:hint="eastAsia" w:hAnsi="Cambria Math" w:cs="宋体"/>
        </w:rPr>
        <w:t>连接件在荷载作用方向净截面模量（mm³）；</w:t>
      </w:r>
    </w:p>
    <w:p>
      <w:pPr>
        <w:snapToGrid w:val="0"/>
        <w:ind w:firstLine="720" w:firstLineChars="300"/>
        <w:rPr>
          <w:rFonts w:hint="eastAsia" w:hAnsi="Cambria Math" w:cs="宋体"/>
        </w:rPr>
      </w:pP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ascii="Cambria Math" w:hAnsi="Cambria Math" w:cs="宋体"/>
              </w:rPr>
              <m:t>N</m:t>
            </m:r>
            <m:ctrlPr>
              <w:rPr>
                <w:rFonts w:hint="eastAsia" w:ascii="Cambria Math" w:hAnsi="Cambria Math" w:cs="宋体"/>
                <w:i/>
              </w:rPr>
            </m:ctrlPr>
          </m:sub>
        </m:sSub>
      </m:oMath>
      <w:r>
        <w:rPr>
          <w:rFonts w:hint="eastAsia" w:hAnsi="Cambria Math" w:cs="宋体"/>
        </w:rPr>
        <w:t>、</w:t>
      </w:r>
      <m:oMath>
        <m:sSub>
          <m:sSubPr>
            <m:ctrlPr>
              <w:rPr>
                <w:rFonts w:hint="eastAsia" w:ascii="Cambria Math" w:hAnsi="Cambria Math" w:cs="宋体"/>
                <w:i/>
              </w:rPr>
            </m:ctrlPr>
          </m:sSubPr>
          <m:e>
            <m:r>
              <m:rPr/>
              <w:rPr>
                <w:rFonts w:ascii="Cambria Math" w:hAnsi="Cambria Math" w:cs="宋体"/>
              </w:rPr>
              <m:t>σ</m:t>
            </m:r>
            <m:ctrlPr>
              <w:rPr>
                <w:rFonts w:hint="eastAsia" w:ascii="Cambria Math" w:hAnsi="Cambria Math" w:cs="宋体"/>
                <w:i/>
              </w:rPr>
            </m:ctrlPr>
          </m:e>
          <m:sub>
            <m:r>
              <m:rPr>
                <m:sty m:val="p"/>
              </m:rPr>
              <w:rPr>
                <w:rFonts w:hint="eastAsia" w:ascii="Cambria Math" w:hAnsi="Cambria Math" w:cs="宋体"/>
              </w:rPr>
              <m:t>M</m:t>
            </m:r>
            <m:ctrlPr>
              <w:rPr>
                <w:rFonts w:hint="eastAsia" w:ascii="Cambria Math" w:hAnsi="Cambria Math" w:cs="宋体"/>
                <w:i/>
              </w:rPr>
            </m:ctrlPr>
          </m:sub>
        </m:sSub>
      </m:oMath>
      <w:r>
        <w:rPr>
          <w:rFonts w:hint="eastAsia" w:hAnsi="Cambria Math" w:cs="宋体"/>
        </w:rPr>
        <w:t>、</w:t>
      </w:r>
      <m:oMath>
        <m:r>
          <m:rPr/>
          <w:rPr>
            <w:rFonts w:ascii="Cambria Math" w:hAnsi="Cambria Math" w:cs="宋体"/>
          </w:rPr>
          <m:t>τ</m:t>
        </m:r>
      </m:oMath>
      <w:r>
        <w:t>——</w:t>
      </w:r>
      <w:r>
        <w:rPr>
          <w:rFonts w:hint="eastAsia" w:hAnsi="Cambria Math" w:cs="宋体"/>
        </w:rPr>
        <w:t>分别在轴力、弯矩、剪力作用下的连接件正应力、弯曲应力和剪应力。</w:t>
      </w:r>
    </w:p>
    <w:p>
      <w:pPr>
        <w:snapToGrid w:val="0"/>
        <w:ind w:firstLine="480"/>
      </w:pPr>
      <w:r>
        <w:rPr>
          <w:rFonts w:hint="eastAsia" w:hAnsi="Cambria Math" w:cs="宋体"/>
        </w:rPr>
        <w:t>在同时存在正应力和剪应力等复杂应力状态时，应</w:t>
      </w:r>
      <w:r>
        <w:rPr>
          <w:rFonts w:hint="eastAsia"/>
        </w:rPr>
        <w:t>符合下列要求：</w:t>
      </w:r>
    </w:p>
    <w:p>
      <w:pPr>
        <w:snapToGrid w:val="0"/>
        <w:jc w:val="right"/>
      </w:pPr>
      <m:oMath>
        <m:rad>
          <m:radPr>
            <m:degHide m:val="1"/>
            <m:ctrlPr>
              <w:rPr>
                <w:rFonts w:hint="eastAsia" w:ascii="Cambria Math" w:hAnsi="Cambria Math" w:cs="宋体"/>
                <w:i/>
              </w:rPr>
            </m:ctrlPr>
          </m:radPr>
          <m:deg>
            <m:ctrlPr>
              <w:rPr>
                <w:rFonts w:hint="eastAsia" w:ascii="Cambria Math" w:hAnsi="Cambria Math" w:cs="宋体"/>
                <w:i/>
              </w:rPr>
            </m:ctrlPr>
          </m:deg>
          <m:e>
            <m:sSup>
              <m:sSupPr>
                <m:ctrlPr>
                  <w:rPr>
                    <w:rFonts w:hint="eastAsia" w:ascii="Cambria Math" w:hAnsi="Cambria Math" w:cs="宋体"/>
                    <w:i/>
                  </w:rPr>
                </m:ctrlPr>
              </m:sSupPr>
              <m:e>
                <m:r>
                  <m:rPr/>
                  <w:rPr>
                    <w:rFonts w:ascii="Cambria Math" w:hAnsi="Cambria Math" w:cs="宋体"/>
                  </w:rPr>
                  <m:t>σ</m:t>
                </m:r>
                <m:ctrlPr>
                  <w:rPr>
                    <w:rFonts w:hint="eastAsia" w:ascii="Cambria Math" w:hAnsi="Cambria Math" w:cs="宋体"/>
                    <w:i/>
                  </w:rPr>
                </m:ctrlPr>
              </m:e>
              <m:sup>
                <m:r>
                  <m:rPr/>
                  <w:rPr>
                    <w:rFonts w:ascii="Cambria Math" w:hAnsi="Cambria Math" w:cs="宋体"/>
                  </w:rPr>
                  <m:t>2</m:t>
                </m:r>
                <m:ctrlPr>
                  <w:rPr>
                    <w:rFonts w:hint="eastAsia" w:ascii="Cambria Math" w:hAnsi="Cambria Math" w:cs="宋体"/>
                    <w:i/>
                  </w:rPr>
                </m:ctrlPr>
              </m:sup>
            </m:sSup>
            <m:r>
              <m:rPr/>
              <w:rPr>
                <w:rFonts w:ascii="Cambria Math" w:hAnsi="Cambria Math" w:cs="宋体"/>
              </w:rPr>
              <m:t>+3</m:t>
            </m:r>
            <m:sSup>
              <m:sSupPr>
                <m:ctrlPr>
                  <w:rPr>
                    <w:rFonts w:ascii="Cambria Math" w:hAnsi="Cambria Math" w:cs="宋体"/>
                    <w:i/>
                  </w:rPr>
                </m:ctrlPr>
              </m:sSupPr>
              <m:e>
                <m:r>
                  <m:rPr/>
                  <w:rPr>
                    <w:rFonts w:ascii="Cambria Math" w:hAnsi="Cambria Math" w:cs="宋体"/>
                  </w:rPr>
                  <m:t>τ</m:t>
                </m:r>
                <m:ctrlPr>
                  <w:rPr>
                    <w:rFonts w:ascii="Cambria Math" w:hAnsi="Cambria Math" w:cs="宋体"/>
                    <w:i/>
                  </w:rPr>
                </m:ctrlPr>
              </m:e>
              <m:sup>
                <m:r>
                  <m:rPr/>
                  <w:rPr>
                    <w:rFonts w:ascii="Cambria Math" w:hAnsi="Cambria Math" w:cs="宋体"/>
                  </w:rPr>
                  <m:t>2</m:t>
                </m:r>
                <m:ctrlPr>
                  <w:rPr>
                    <w:rFonts w:ascii="Cambria Math" w:hAnsi="Cambria Math" w:cs="宋体"/>
                    <w:i/>
                  </w:rPr>
                </m:ctrlPr>
              </m:sup>
            </m:sSup>
            <m:ctrlPr>
              <w:rPr>
                <w:rFonts w:hint="eastAsia" w:ascii="Cambria Math" w:hAnsi="Cambria Math" w:cs="宋体"/>
                <w:i/>
              </w:rPr>
            </m:ctrlPr>
          </m:e>
        </m:rad>
        <m:r>
          <m:rPr/>
          <w:rPr>
            <w:rFonts w:hint="eastAsia" w:ascii="Cambria Math" w:hAnsi="Cambria Math" w:cs="宋体"/>
          </w:rPr>
          <m:t>≤</m:t>
        </m:r>
        <m:r>
          <m:rPr/>
          <w:rPr>
            <w:rFonts w:ascii="Cambria Math" w:hAnsi="Cambria Math" w:cs="宋体"/>
          </w:rPr>
          <m:t>1.1f</m:t>
        </m:r>
      </m:oMath>
      <w:r>
        <w:rPr>
          <w:rFonts w:hint="eastAsia" w:hAnsi="Cambria Math" w:cs="宋体"/>
        </w:rPr>
        <w:t xml:space="preserve">                </w:t>
      </w:r>
      <w:r>
        <w:rPr>
          <w:rFonts w:hint="eastAsia" w:cs="Times New Roman"/>
        </w:rPr>
        <w:t>（4.2.5-4）</w:t>
      </w:r>
    </w:p>
    <w:p>
      <w:pPr>
        <w:snapToGrid w:val="0"/>
        <w:rPr>
          <w:rFonts w:cs="Times New Roman"/>
        </w:rPr>
      </w:pPr>
      <w:r>
        <w:rPr>
          <w:rStyle w:val="22"/>
          <w:rFonts w:ascii="Times New Roman" w:hAnsi="Times New Roman" w:cs="Times New Roman"/>
        </w:rPr>
        <w:t>4.</w:t>
      </w:r>
      <w:r>
        <w:rPr>
          <w:rStyle w:val="22"/>
          <w:rFonts w:hint="eastAsia" w:ascii="Times New Roman" w:hAnsi="Times New Roman" w:cs="Times New Roman"/>
        </w:rPr>
        <w:t>2</w:t>
      </w:r>
      <w:r>
        <w:rPr>
          <w:rStyle w:val="22"/>
          <w:rFonts w:ascii="Times New Roman" w:hAnsi="Times New Roman" w:cs="Times New Roman"/>
        </w:rPr>
        <w:t>.</w:t>
      </w:r>
      <w:r>
        <w:rPr>
          <w:rStyle w:val="22"/>
          <w:rFonts w:hint="eastAsia" w:ascii="Times New Roman" w:hAnsi="Times New Roman" w:cs="Times New Roman"/>
        </w:rPr>
        <w:t>6</w:t>
      </w:r>
      <w:r>
        <w:rPr>
          <w:rFonts w:cs="Times New Roman"/>
        </w:rPr>
        <w:t>  用于墙面板与连接件、连接件与主体结构的自攻螺钉、射钉的强度可按下列规定计算：</w:t>
      </w:r>
    </w:p>
    <w:p>
      <w:pPr>
        <w:snapToGrid w:val="0"/>
        <w:ind w:firstLine="482" w:firstLineChars="200"/>
        <w:rPr>
          <w:rFonts w:cs="Times New Roman"/>
        </w:rPr>
      </w:pPr>
      <w:r>
        <w:rPr>
          <w:rFonts w:cs="Times New Roman"/>
          <w:b/>
          <w:bCs/>
        </w:rPr>
        <w:t xml:space="preserve">1  </w:t>
      </w:r>
      <w:r>
        <w:rPr>
          <w:rFonts w:cs="Times New Roman"/>
        </w:rPr>
        <w:t>每个自攻螺钉或射钉所受的拉力应不大于按下列公式计算的抗拉承载力设计值。</w:t>
      </w:r>
    </w:p>
    <w:p>
      <w:pPr>
        <w:snapToGrid w:val="0"/>
        <w:ind w:firstLine="480" w:firstLineChars="200"/>
        <w:jc w:val="right"/>
        <w:rPr>
          <w:rFonts w:cs="Times New Roman"/>
        </w:rPr>
      </w:p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r>
          <m:rPr/>
          <w:rPr>
            <w:rFonts w:ascii="Cambria Math" w:hAnsi="Cambria Math" w:cs="Times New Roman"/>
          </w:rPr>
          <m:t>=8.5tf</m:t>
        </m:r>
      </m:oMath>
      <w:r>
        <w:rPr>
          <w:rFonts w:hint="eastAsia" w:cs="Times New Roman"/>
        </w:rPr>
        <w:t xml:space="preserve">                   （4.2.6-1）</w:t>
      </w:r>
    </w:p>
    <w:p>
      <w:pPr>
        <w:snapToGrid w:val="0"/>
        <w:rPr>
          <w:rFonts w:cs="Times New Roman"/>
        </w:rPr>
      </w:pPr>
      <w:r>
        <w:rPr>
          <w:rFonts w:cs="Times New Roman"/>
        </w:rPr>
        <w:t>式中：</w:t>
      </w:r>
      <w:r>
        <w:rPr>
          <w:rFonts w:cs="Times New Roman"/>
          <w:i/>
          <w:iCs/>
        </w:rPr>
        <w:t>f</w:t>
      </w:r>
      <w:r>
        <w:rPr>
          <w:rFonts w:cs="Times New Roman"/>
        </w:rPr>
        <w:t>——连接件的抗拉强度设计值（N／mm²）</w:t>
      </w:r>
      <w:r>
        <w:rPr>
          <w:rFonts w:hint="eastAsia" w:cs="Times New Roman"/>
        </w:rPr>
        <w:t>；</w:t>
      </w:r>
    </w:p>
    <w:p>
      <w:pPr>
        <w:snapToGrid w:val="0"/>
        <w:ind w:firstLine="720" w:firstLineChars="300"/>
        <w:rPr>
          <w:rFonts w:cs="Times New Roman"/>
        </w:rPr>
      </w:p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oMath>
      <w:r>
        <w:rPr>
          <w:rFonts w:cs="Times New Roman"/>
        </w:rPr>
        <w:t>——自攻螺钉或射钉的抗拉承载力设计值（N）；</w:t>
      </w:r>
    </w:p>
    <w:p>
      <w:pPr>
        <w:snapToGrid w:val="0"/>
        <w:rPr>
          <w:rFonts w:cs="Times New Roman"/>
        </w:rPr>
      </w:pPr>
      <w:r>
        <w:rPr>
          <w:rFonts w:cs="Times New Roman"/>
        </w:rPr>
        <w:t xml:space="preserve">      </w:t>
      </w:r>
      <w:r>
        <w:rPr>
          <w:rFonts w:cs="Times New Roman"/>
          <w:i/>
          <w:iCs/>
        </w:rPr>
        <w:t>t</w:t>
      </w:r>
      <w:r>
        <w:rPr>
          <w:rFonts w:cs="Times New Roman"/>
        </w:rPr>
        <w:t>——连接件的厚度（mm）。</w:t>
      </w:r>
    </w:p>
    <w:p>
      <w:pPr>
        <w:snapToGrid w:val="0"/>
        <w:ind w:firstLine="482" w:firstLineChars="200"/>
        <w:rPr>
          <w:rFonts w:cs="Times New Roman"/>
        </w:rPr>
      </w:pPr>
      <w:r>
        <w:rPr>
          <w:rFonts w:cs="Times New Roman"/>
          <w:b/>
          <w:bCs/>
        </w:rPr>
        <w:t xml:space="preserve">2  </w:t>
      </w:r>
      <w:r>
        <w:rPr>
          <w:rFonts w:cs="Times New Roman"/>
        </w:rPr>
        <w:t>当连接件受剪时，每个连接件所承受的剪力应不大于按下列公式计算的抗剪承载力设计值。</w:t>
      </w:r>
    </w:p>
    <w:p>
      <w:pPr>
        <w:snapToGrid w:val="0"/>
        <w:ind w:firstLine="480" w:firstLineChars="200"/>
        <w:rPr>
          <w:rFonts w:cs="Times New Roman"/>
        </w:rPr>
      </w:pPr>
      <w:r>
        <w:rPr>
          <w:rFonts w:cs="Times New Roman"/>
        </w:rPr>
        <w:t>自攻螺钉：</w:t>
      </w:r>
    </w:p>
    <w:p>
      <w:pPr>
        <w:snapToGrid w:val="0"/>
        <w:ind w:firstLine="480" w:firstLineChars="200"/>
        <w:jc w:val="right"/>
        <w:rPr>
          <w:rFonts w:cs="Times New Roman"/>
        </w:rPr>
      </w:p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r>
          <m:rPr/>
          <w:rPr>
            <w:rFonts w:ascii="Cambria Math" w:hAnsi="Cambria Math" w:cs="Times New Roman"/>
          </w:rPr>
          <m:t>=2.4tdf</m:t>
        </m:r>
      </m:oMath>
      <w:r>
        <w:rPr>
          <w:rFonts w:hint="eastAsia" w:cs="Times New Roman"/>
        </w:rPr>
        <w:t xml:space="preserve">                 （4.2.6-2）</w:t>
      </w:r>
    </w:p>
    <w:p>
      <w:pPr>
        <w:snapToGrid w:val="0"/>
        <w:ind w:firstLine="480" w:firstLineChars="200"/>
        <w:rPr>
          <w:rFonts w:cs="Times New Roman"/>
        </w:rPr>
      </w:pPr>
      <w:r>
        <w:rPr>
          <w:rFonts w:cs="Times New Roman"/>
        </w:rPr>
        <w:t>射钉：</w:t>
      </w:r>
    </w:p>
    <w:p>
      <w:pPr>
        <w:snapToGrid w:val="0"/>
        <w:ind w:firstLine="480" w:firstLineChars="200"/>
        <w:jc w:val="right"/>
        <w:rPr>
          <w:rFonts w:cs="Times New Roman"/>
        </w:rPr>
      </w:p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r>
          <m:rPr/>
          <w:rPr>
            <w:rFonts w:ascii="Cambria Math" w:hAnsi="Cambria Math" w:cs="Times New Roman"/>
          </w:rPr>
          <m:t>=3.7tdf</m:t>
        </m:r>
      </m:oMath>
      <w:r>
        <w:rPr>
          <w:rFonts w:hint="eastAsia" w:cs="Times New Roman"/>
        </w:rPr>
        <w:t xml:space="preserve">                 （4.2.6-3）</w:t>
      </w:r>
    </w:p>
    <w:p>
      <w:pPr>
        <w:snapToGrid w:val="0"/>
        <w:rPr>
          <w:rFonts w:cs="Times New Roman"/>
          <w:i/>
        </w:rPr>
      </w:pPr>
      <w:r>
        <w:rPr>
          <w:rFonts w:cs="Times New Roman"/>
        </w:rPr>
        <w:t>式中：</w:t>
      </w:r>
      <w:r>
        <w:rPr>
          <w:rFonts w:cs="Times New Roman"/>
          <w:i/>
        </w:rPr>
        <w:t>d</w:t>
      </w:r>
      <w:r>
        <w:rPr>
          <w:rFonts w:cs="Times New Roman"/>
        </w:rPr>
        <w:t>——自攻螺钉或射钉直径（mm）</w:t>
      </w:r>
      <w:r>
        <w:rPr>
          <w:rFonts w:hint="eastAsia" w:cs="Times New Roman"/>
        </w:rPr>
        <w:t>；</w:t>
      </w:r>
    </w:p>
    <w:p>
      <w:pPr>
        <w:snapToGrid w:val="0"/>
        <w:ind w:firstLine="720" w:firstLineChars="300"/>
        <w:rPr>
          <w:rFonts w:cs="Times New Roman"/>
        </w:rPr>
      </w:pPr>
      <w:r>
        <w:rPr>
          <w:rFonts w:cs="Times New Roman"/>
          <w:i/>
          <w:iCs/>
        </w:rPr>
        <w:t>f</w:t>
      </w:r>
      <w:r>
        <w:rPr>
          <w:rFonts w:cs="Times New Roman"/>
        </w:rPr>
        <w:t>——连接件的抗拉强度设计值（N／mm²）</w:t>
      </w:r>
      <w:r>
        <w:rPr>
          <w:rFonts w:hint="eastAsia" w:cs="Times New Roman"/>
        </w:rPr>
        <w:t>；</w:t>
      </w:r>
    </w:p>
    <w:p>
      <w:pPr>
        <w:snapToGrid w:val="0"/>
        <w:ind w:firstLine="720" w:firstLineChars="300"/>
        <w:rPr>
          <w:rFonts w:cs="Times New Roman"/>
        </w:rPr>
      </w:p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oMath>
      <w:r>
        <w:rPr>
          <w:rFonts w:cs="Times New Roman"/>
        </w:rPr>
        <w:t>——连接件的抗剪承载力设计值（N）；</w:t>
      </w:r>
    </w:p>
    <w:p>
      <w:pPr>
        <w:snapToGrid w:val="0"/>
        <w:ind w:firstLine="720" w:firstLineChars="300"/>
        <w:rPr>
          <w:rFonts w:cs="Times New Roman"/>
        </w:rPr>
      </w:pPr>
      <w:r>
        <w:rPr>
          <w:rFonts w:cs="Times New Roman"/>
          <w:i/>
        </w:rPr>
        <w:t>t</w:t>
      </w:r>
      <w:r>
        <w:rPr>
          <w:rFonts w:cs="Times New Roman"/>
        </w:rPr>
        <w:t>——连接件的厚度（mm）。</w:t>
      </w:r>
    </w:p>
    <w:p>
      <w:pPr>
        <w:snapToGrid w:val="0"/>
        <w:ind w:firstLine="482" w:firstLineChars="200"/>
        <w:rPr>
          <w:rFonts w:cs="Times New Roman"/>
        </w:rPr>
      </w:pPr>
      <w:r>
        <w:rPr>
          <w:rFonts w:cs="Times New Roman"/>
          <w:b/>
          <w:bCs/>
        </w:rPr>
        <w:t xml:space="preserve">3  </w:t>
      </w:r>
      <w:r>
        <w:rPr>
          <w:rFonts w:cs="Times New Roman"/>
        </w:rPr>
        <w:t>同时承受剪力和拉力作用的自攻螺钉和射钉连接，应符合下式要求：</w:t>
      </w:r>
    </w:p>
    <w:p>
      <w:pPr>
        <w:snapToGrid w:val="0"/>
        <w:ind w:firstLine="480" w:firstLineChars="200"/>
        <w:jc w:val="right"/>
        <w:rPr>
          <w:rFonts w:cs="Times New Roman"/>
        </w:rPr>
      </w:pPr>
      <m:oMath>
        <m:rad>
          <m:radPr>
            <m:degHide m:val="1"/>
            <m:ctrlPr>
              <w:rPr>
                <w:rFonts w:ascii="Cambria Math" w:hAnsi="Cambria Math" w:cs="Times New Roman"/>
                <w:i/>
              </w:rPr>
            </m:ctrlPr>
          </m:radPr>
          <m:deg>
            <m:ctrlPr>
              <w:rPr>
                <w:rFonts w:ascii="Cambria Math" w:hAnsi="Cambria Math" w:cs="Times New Roman"/>
                <w:i/>
              </w:rPr>
            </m:ctrlPr>
          </m:deg>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ctrlPr>
                          <w:rPr>
                            <w:rFonts w:ascii="Cambria Math" w:hAnsi="Cambria Math" w:cs="Times New Roman"/>
                            <w:i/>
                          </w:rPr>
                        </m:ctrlPr>
                      </m:num>
                      <m:den>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Sub>
                        <m:ctrlPr>
                          <w:rPr>
                            <w:rFonts w:ascii="Cambria Math" w:hAnsi="Cambria Math" w:cs="Times New Roman"/>
                            <w:i/>
                          </w:rPr>
                        </m:ctrlPr>
                      </m:num>
                      <m:den>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e>
        </m:rad>
        <m:r>
          <m:rPr/>
          <w:rPr>
            <w:rFonts w:ascii="Cambria Math" w:hAnsi="Cambria Math" w:cs="Times New Roman"/>
          </w:rPr>
          <m:t>≤1</m:t>
        </m:r>
      </m:oMath>
      <w:r>
        <w:rPr>
          <w:rFonts w:hint="eastAsia" w:cs="Times New Roman"/>
        </w:rPr>
        <w:t xml:space="preserve">           （4.2.6-4）</w:t>
      </w:r>
    </w:p>
    <w:p>
      <w:pPr>
        <w:snapToGrid w:val="0"/>
        <w:rPr>
          <w:rFonts w:cs="Times New Roman"/>
        </w:rPr>
      </w:pPr>
      <w:r>
        <w:rPr>
          <w:rFonts w:cs="Times New Roman"/>
        </w:rPr>
        <w:t>式中：</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Sub>
      </m:oMath>
      <w:r>
        <w:rPr>
          <w:rFonts w:hint="eastAsia" w:hAnsi="Cambria Math" w:cs="Times New Roman"/>
        </w:rPr>
        <w:t>、</w:t>
      </w:r>
      <m:oMath>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Sub>
      </m:oMath>
      <w:r>
        <w:rPr>
          <w:rFonts w:cs="Times New Roman"/>
        </w:rPr>
        <w:t>——一个连接件所承受的剪力和拉力；</w:t>
      </w:r>
    </w:p>
    <w:p>
      <w:pPr>
        <w:snapToGrid w:val="0"/>
        <w:ind w:firstLine="720" w:firstLineChars="300"/>
        <w:rPr>
          <w:rFonts w:ascii="楷体" w:hAnsi="楷体" w:eastAsia="楷体" w:cs="Times New Roman"/>
        </w:rPr>
      </w:pP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t</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oMath>
      <w:r>
        <w:rPr>
          <w:rFonts w:hint="eastAsia" w:hAnsi="Cambria Math" w:cs="Times New Roman"/>
        </w:rPr>
        <w:t>、</w:t>
      </w:r>
      <m:oMath>
        <m:sSubSup>
          <m:sSubSupPr>
            <m:ctrlPr>
              <w:rPr>
                <w:rFonts w:ascii="Cambria Math" w:hAnsi="Cambria Math" w:cs="Times New Roman"/>
                <w:i/>
              </w:rPr>
            </m:ctrlPr>
          </m:sSubSupPr>
          <m:e>
            <m:r>
              <m:rPr/>
              <w:rPr>
                <w:rFonts w:ascii="Cambria Math" w:hAnsi="Cambria Math" w:cs="Times New Roman"/>
              </w:rPr>
              <m:t>N</m:t>
            </m:r>
            <m:ctrlPr>
              <w:rPr>
                <w:rFonts w:ascii="Cambria Math" w:hAnsi="Cambria Math" w:cs="Times New Roman"/>
                <w:i/>
              </w:rPr>
            </m:ctrlPr>
          </m:e>
          <m:sub>
            <m:r>
              <m:rPr>
                <m:sty m:val="p"/>
              </m:rPr>
              <w:rPr>
                <w:rFonts w:ascii="Cambria Math" w:hAnsi="Cambria Math" w:cs="Times New Roman"/>
              </w:rPr>
              <m:t>v</m:t>
            </m:r>
            <m:ctrlPr>
              <w:rPr>
                <w:rFonts w:ascii="Cambria Math" w:hAnsi="Cambria Math" w:cs="Times New Roman"/>
                <w:i/>
              </w:rPr>
            </m:ctrlPr>
          </m:sub>
          <m:sup>
            <m:r>
              <m:rPr>
                <m:sty m:val="p"/>
              </m:rPr>
              <w:rPr>
                <w:rFonts w:ascii="Cambria Math" w:hAnsi="Cambria Math" w:cs="Times New Roman"/>
              </w:rPr>
              <m:t>f</m:t>
            </m:r>
            <m:ctrlPr>
              <w:rPr>
                <w:rFonts w:ascii="Cambria Math" w:hAnsi="Cambria Math" w:cs="Times New Roman"/>
                <w:i/>
              </w:rPr>
            </m:ctrlPr>
          </m:sup>
        </m:sSubSup>
      </m:oMath>
      <w:r>
        <w:rPr>
          <w:rFonts w:cs="Times New Roman"/>
        </w:rPr>
        <w:t>——一个连接件所承受的剪力和拉力</w:t>
      </w:r>
      <w:r>
        <w:rPr>
          <w:rFonts w:hint="eastAsia" w:cs="Times New Roman"/>
        </w:rPr>
        <w:t>的设计值</w:t>
      </w:r>
      <w:r>
        <w:rPr>
          <w:rFonts w:cs="Times New Roman"/>
        </w:rPr>
        <w:t>。</w:t>
      </w:r>
    </w:p>
    <w:p>
      <w:pPr>
        <w:snapToGrid w:val="0"/>
        <w:rPr>
          <w:rFonts w:cs="Times New Roman"/>
        </w:rPr>
      </w:pPr>
      <w:r>
        <w:rPr>
          <w:rStyle w:val="22"/>
          <w:rFonts w:ascii="Times New Roman" w:hAnsi="Times New Roman" w:cs="Times New Roman"/>
        </w:rPr>
        <w:t>4.</w:t>
      </w:r>
      <w:r>
        <w:rPr>
          <w:rStyle w:val="22"/>
          <w:rFonts w:hint="eastAsia" w:ascii="Times New Roman" w:hAnsi="Times New Roman" w:cs="Times New Roman"/>
        </w:rPr>
        <w:t>2</w:t>
      </w:r>
      <w:r>
        <w:rPr>
          <w:rStyle w:val="22"/>
          <w:rFonts w:ascii="Times New Roman" w:hAnsi="Times New Roman" w:cs="Times New Roman"/>
        </w:rPr>
        <w:t>.</w:t>
      </w:r>
      <w:r>
        <w:rPr>
          <w:rStyle w:val="22"/>
          <w:rFonts w:hint="eastAsia" w:ascii="Times New Roman" w:hAnsi="Times New Roman" w:cs="Times New Roman"/>
        </w:rPr>
        <w:t>7</w:t>
      </w:r>
      <w:r>
        <w:rPr>
          <w:rFonts w:cs="Times New Roman"/>
        </w:rPr>
        <w:t>  用于装配式复合轻质墙体连接件与主体结构连接固定的化学锚栓应满足下列规定：</w:t>
      </w:r>
    </w:p>
    <w:p>
      <w:pPr>
        <w:snapToGrid w:val="0"/>
        <w:ind w:firstLine="482" w:firstLineChars="200"/>
        <w:rPr>
          <w:rFonts w:cs="Times New Roman"/>
          <w:b/>
          <w:bCs/>
        </w:rPr>
      </w:pPr>
      <w:r>
        <w:rPr>
          <w:rFonts w:hint="eastAsia"/>
          <w:b/>
        </w:rPr>
        <w:t xml:space="preserve">1 </w:t>
      </w:r>
      <w:r>
        <w:rPr>
          <w:rFonts w:hint="eastAsia"/>
        </w:rPr>
        <w:t>抗震设防烈度8度及以下地区</w:t>
      </w:r>
    </w:p>
    <w:p>
      <w:pPr>
        <w:snapToGrid w:val="0"/>
        <w:ind w:firstLine="482" w:firstLineChars="200"/>
        <w:rPr>
          <w:rFonts w:cs="Times New Roman"/>
        </w:rPr>
      </w:pPr>
      <w:r>
        <w:rPr>
          <w:rFonts w:cs="Times New Roman"/>
          <w:b/>
          <w:bCs/>
        </w:rPr>
        <w:t>1）</w:t>
      </w:r>
      <w:r>
        <w:rPr>
          <w:rFonts w:cs="Times New Roman"/>
        </w:rPr>
        <w:t>直径不应小于8mm，化学锚栓的设置应符合现行行业标准《混凝土结构后锚固技术规程》JGJ 145的相关规定。</w:t>
      </w:r>
    </w:p>
    <w:p>
      <w:pPr>
        <w:snapToGrid w:val="0"/>
        <w:ind w:firstLine="482" w:firstLineChars="200"/>
        <w:rPr>
          <w:rFonts w:cs="Times New Roman"/>
        </w:rPr>
      </w:pPr>
      <w:r>
        <w:rPr>
          <w:rFonts w:cs="Times New Roman"/>
          <w:b/>
          <w:bCs/>
        </w:rPr>
        <w:t>2）</w:t>
      </w:r>
      <w:r>
        <w:rPr>
          <w:rFonts w:cs="Times New Roman"/>
        </w:rPr>
        <w:t>在抗震设防区时，化学锚栓应进行抗震性能检验，最小有效锚固相对深度宜满足6</w:t>
      </w:r>
      <w:r>
        <w:rPr>
          <w:rFonts w:cs="Times New Roman"/>
          <w:i/>
          <w:iCs/>
        </w:rPr>
        <w:t>d</w:t>
      </w:r>
      <w:r>
        <w:rPr>
          <w:rFonts w:cs="Times New Roman"/>
        </w:rPr>
        <w:t>的要求，</w:t>
      </w:r>
      <w:r>
        <w:rPr>
          <w:rFonts w:hint="eastAsia" w:cs="Times New Roman"/>
        </w:rPr>
        <w:t>且不小于60mm。</w:t>
      </w:r>
      <w:r>
        <w:rPr>
          <w:rFonts w:cs="Times New Roman"/>
        </w:rPr>
        <w:t>当有充分试验依据及可靠工程经验并经国家指定机构认证许可时，可不受限制。</w:t>
      </w:r>
    </w:p>
    <w:p>
      <w:pPr>
        <w:snapToGrid w:val="0"/>
        <w:ind w:firstLine="482" w:firstLineChars="200"/>
      </w:pPr>
      <w:r>
        <w:rPr>
          <w:rFonts w:hint="eastAsia"/>
          <w:b/>
        </w:rPr>
        <w:t>2</w:t>
      </w:r>
      <w:r>
        <w:rPr>
          <w:rFonts w:hint="eastAsia"/>
        </w:rPr>
        <w:t>抗震设防烈度9度地区</w:t>
      </w:r>
    </w:p>
    <w:p>
      <w:pPr>
        <w:snapToGrid w:val="0"/>
        <w:ind w:firstLine="480" w:firstLineChars="200"/>
      </w:pPr>
      <w:r>
        <w:rPr>
          <w:rFonts w:cs="Times New Roman"/>
        </w:rPr>
        <w:t>化学锚栓</w:t>
      </w:r>
      <w:r>
        <w:rPr>
          <w:rFonts w:hint="eastAsia"/>
        </w:rPr>
        <w:t>应通过试验及专家论证确认其可靠性，当有其他可靠依据时，也可采用扩底型锚栓。</w:t>
      </w:r>
    </w:p>
    <w:p>
      <w:pPr>
        <w:snapToGrid w:val="0"/>
        <w:ind w:firstLine="480" w:firstLineChars="200"/>
      </w:pPr>
    </w:p>
    <w:p>
      <w:pPr>
        <w:pStyle w:val="4"/>
        <w:snapToGrid w:val="0"/>
        <w:spacing w:before="0" w:after="0" w:line="360" w:lineRule="auto"/>
        <w:rPr>
          <w:rFonts w:ascii="Times New Roman" w:hAnsi="Times New Roman" w:cs="Times New Roman"/>
        </w:rPr>
      </w:pPr>
      <w:bookmarkStart w:id="67" w:name="_Toc21662"/>
      <w:r>
        <w:rPr>
          <w:rFonts w:ascii="Times New Roman" w:hAnsi="Times New Roman" w:cs="Times New Roman"/>
        </w:rPr>
        <w:t>4.</w:t>
      </w:r>
      <w:r>
        <w:rPr>
          <w:rFonts w:hint="eastAsia" w:ascii="Times New Roman" w:hAnsi="Times New Roman" w:cs="Times New Roman"/>
        </w:rPr>
        <w:t>3</w:t>
      </w:r>
      <w:r>
        <w:rPr>
          <w:rFonts w:ascii="Times New Roman" w:hAnsi="Times New Roman" w:cs="Times New Roman"/>
        </w:rPr>
        <w:t>  </w:t>
      </w:r>
      <w:r>
        <w:rPr>
          <w:rFonts w:hint="eastAsia" w:ascii="Times New Roman" w:hAnsi="Times New Roman" w:cs="Times New Roman"/>
        </w:rPr>
        <w:t>节能</w:t>
      </w:r>
      <w:r>
        <w:rPr>
          <w:rFonts w:ascii="Times New Roman" w:hAnsi="Times New Roman" w:cs="Times New Roman"/>
        </w:rPr>
        <w:t>设计</w:t>
      </w:r>
      <w:bookmarkEnd w:id="67"/>
    </w:p>
    <w:p>
      <w:pPr>
        <w:snapToGrid w:val="0"/>
        <w:rPr>
          <w:rFonts w:cs="Times New Roman"/>
        </w:rPr>
      </w:pPr>
      <w:r>
        <w:rPr>
          <w:rStyle w:val="22"/>
          <w:rFonts w:ascii="Times New Roman" w:hAnsi="Times New Roman" w:cs="Times New Roman"/>
        </w:rPr>
        <w:t>4.</w:t>
      </w:r>
      <w:r>
        <w:rPr>
          <w:rStyle w:val="22"/>
          <w:rFonts w:hint="eastAsia" w:ascii="Times New Roman" w:hAnsi="Times New Roman" w:cs="Times New Roman"/>
        </w:rPr>
        <w:t>3</w:t>
      </w:r>
      <w:r>
        <w:rPr>
          <w:rStyle w:val="22"/>
          <w:rFonts w:ascii="Times New Roman" w:hAnsi="Times New Roman" w:cs="Times New Roman"/>
        </w:rPr>
        <w:t>.1</w:t>
      </w:r>
      <w:r>
        <w:rPr>
          <w:rFonts w:cs="Times New Roman"/>
        </w:rPr>
        <w:t> 装配式复合轻质墙体用于建筑外墙、住宅分户墙、分隔供暖与非供暖空间的隔墙时，</w:t>
      </w:r>
      <w:r>
        <w:rPr>
          <w:rFonts w:hint="eastAsia"/>
        </w:rPr>
        <w:t>墙体的热工性能应符合现行国家标准《民用建筑热工设计规范》GB 50176和当地建筑节能设计标准的有关规定。</w:t>
      </w:r>
      <w:r>
        <w:rPr>
          <w:rFonts w:cs="Times New Roman"/>
        </w:rPr>
        <w:t>保温</w:t>
      </w:r>
      <w:r>
        <w:rPr>
          <w:rFonts w:hint="eastAsia" w:cs="Times New Roman"/>
        </w:rPr>
        <w:t>层</w:t>
      </w:r>
      <w:r>
        <w:rPr>
          <w:rFonts w:cs="Times New Roman"/>
        </w:rPr>
        <w:t>厚度应通过对围护结构热工性能的计算确定。</w:t>
      </w:r>
    </w:p>
    <w:p>
      <w:pPr>
        <w:snapToGrid w:val="0"/>
        <w:rPr>
          <w:rFonts w:ascii="宋体" w:hAnsi="宋体" w:cs="宋体"/>
        </w:rPr>
      </w:pPr>
      <w:r>
        <w:rPr>
          <w:rStyle w:val="22"/>
          <w:rFonts w:hint="eastAsia" w:ascii="Times New Roman" w:hAnsi="Times New Roman" w:cs="Times New Roman"/>
        </w:rPr>
        <w:t>4.3.2 </w:t>
      </w:r>
      <w:r>
        <w:rPr>
          <w:rFonts w:cs="Times New Roman"/>
        </w:rPr>
        <w:t>装配式复合轻质墙体</w:t>
      </w:r>
      <w:r>
        <w:rPr>
          <w:rFonts w:hint="eastAsia" w:cs="Times New Roman"/>
        </w:rPr>
        <w:t>节能</w:t>
      </w:r>
      <w:r>
        <w:rPr>
          <w:rFonts w:hint="eastAsia"/>
        </w:rPr>
        <w:t>设计时，应根据不同部位墙体的传热系数要求，选择相应的墙体构造和厚度。</w:t>
      </w:r>
    </w:p>
    <w:p>
      <w:pPr>
        <w:snapToGrid w:val="0"/>
        <w:ind w:firstLine="482" w:firstLineChars="200"/>
        <w:rPr>
          <w:sz w:val="21"/>
          <w:szCs w:val="21"/>
        </w:rPr>
      </w:pPr>
      <w:r>
        <w:rPr>
          <w:rFonts w:cs="Times New Roman"/>
          <w:b/>
          <w:bCs/>
        </w:rPr>
        <w:t xml:space="preserve">1 </w:t>
      </w:r>
      <w:r>
        <w:rPr>
          <w:rFonts w:hint="eastAsia"/>
        </w:rPr>
        <w:t>选用图4.3.2-1墙体构造时，不同厚度的传热系数按照表4.3.2-1采用。</w:t>
      </w:r>
    </w:p>
    <w:p>
      <w:pPr>
        <w:snapToGrid w:val="0"/>
        <w:jc w:val="center"/>
        <w:rPr>
          <w:rFonts w:ascii="宋体" w:hAnsi="宋体" w:cs="宋体"/>
          <w:b/>
          <w:bCs/>
          <w:sz w:val="20"/>
        </w:rPr>
      </w:pPr>
      <w:r>
        <w:rPr>
          <w:rFonts w:hint="eastAsia" w:ascii="宋体" w:hAnsi="宋体" w:cs="宋体"/>
          <w:b/>
          <w:bCs/>
          <w:sz w:val="20"/>
        </w:rPr>
        <w:drawing>
          <wp:inline distT="0" distB="0" distL="114300" distR="114300">
            <wp:extent cx="4599940" cy="1080135"/>
            <wp:effectExtent l="0" t="0" r="10160" b="5715"/>
            <wp:docPr id="32" name="图片 32" descr="F:/2023/标准/图片/QQ截图20231128100553.jpgQQ截图2023112810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2023/标准/图片/QQ截图20231128100553.jpgQQ截图20231128100553"/>
                    <pic:cNvPicPr>
                      <a:picLocks noChangeAspect="1"/>
                    </pic:cNvPicPr>
                  </pic:nvPicPr>
                  <pic:blipFill>
                    <a:blip r:embed="rId14"/>
                    <a:srcRect t="5735" b="5735"/>
                    <a:stretch>
                      <a:fillRect/>
                    </a:stretch>
                  </pic:blipFill>
                  <pic:spPr>
                    <a:xfrm>
                      <a:off x="0" y="0"/>
                      <a:ext cx="4599940" cy="1080135"/>
                    </a:xfrm>
                    <a:prstGeom prst="rect">
                      <a:avLst/>
                    </a:prstGeom>
                  </pic:spPr>
                </pic:pic>
              </a:graphicData>
            </a:graphic>
          </wp:inline>
        </w:drawing>
      </w:r>
    </w:p>
    <w:p>
      <w:pPr>
        <w:jc w:val="center"/>
        <w:rPr>
          <w:b/>
          <w:bCs/>
          <w:sz w:val="21"/>
          <w:szCs w:val="21"/>
        </w:rPr>
      </w:pPr>
      <w:r>
        <w:rPr>
          <w:rFonts w:hint="eastAsia"/>
          <w:b/>
          <w:bCs/>
          <w:sz w:val="21"/>
          <w:szCs w:val="21"/>
        </w:rPr>
        <w:t>图4.3.2-1  常用墙体构造（一）</w:t>
      </w:r>
    </w:p>
    <w:p>
      <w:pPr>
        <w:numPr>
          <w:ilvl w:val="0"/>
          <w:numId w:val="1"/>
        </w:numPr>
        <w:jc w:val="center"/>
      </w:pPr>
      <w:r>
        <w:rPr>
          <w:rFonts w:hint="eastAsia"/>
          <w:sz w:val="18"/>
          <w:szCs w:val="18"/>
        </w:rPr>
        <w:t>墙面板；2-连接件；3-自攻螺钉；4-保温隔热材料；5-注仓料</w:t>
      </w:r>
    </w:p>
    <w:p>
      <w:pPr>
        <w:jc w:val="center"/>
        <w:rPr>
          <w:b/>
          <w:bCs/>
          <w:sz w:val="21"/>
          <w:szCs w:val="21"/>
        </w:rPr>
      </w:pPr>
      <w:r>
        <w:rPr>
          <w:rFonts w:hint="eastAsia"/>
          <w:b/>
          <w:bCs/>
          <w:sz w:val="21"/>
          <w:szCs w:val="21"/>
        </w:rPr>
        <w:t>表4.3.2-1 不同厚度墙体热阻及传热系数</w:t>
      </w:r>
    </w:p>
    <w:tbl>
      <w:tblPr>
        <w:tblStyle w:val="17"/>
        <w:tblW w:w="7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154"/>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napToGrid w:val="0"/>
              <w:spacing w:line="240" w:lineRule="auto"/>
              <w:jc w:val="center"/>
              <w:rPr>
                <w:sz w:val="21"/>
                <w:szCs w:val="21"/>
              </w:rPr>
            </w:pPr>
            <w:r>
              <w:rPr>
                <w:rFonts w:hint="eastAsia"/>
                <w:sz w:val="21"/>
                <w:szCs w:val="21"/>
              </w:rPr>
              <w:t>墙厚</w:t>
            </w:r>
          </w:p>
          <w:p>
            <w:pPr>
              <w:snapToGrid w:val="0"/>
              <w:spacing w:line="240" w:lineRule="auto"/>
              <w:jc w:val="center"/>
              <w:rPr>
                <w:sz w:val="21"/>
                <w:szCs w:val="21"/>
              </w:rPr>
            </w:pPr>
            <w:r>
              <w:rPr>
                <w:rFonts w:hint="eastAsia"/>
                <w:sz w:val="21"/>
                <w:szCs w:val="21"/>
              </w:rPr>
              <w:t>（mm）</w:t>
            </w:r>
          </w:p>
        </w:tc>
        <w:tc>
          <w:tcPr>
            <w:tcW w:w="2154" w:type="dxa"/>
            <w:vAlign w:val="center"/>
          </w:tcPr>
          <w:p>
            <w:pPr>
              <w:snapToGrid w:val="0"/>
              <w:spacing w:line="240" w:lineRule="auto"/>
              <w:jc w:val="center"/>
              <w:rPr>
                <w:sz w:val="21"/>
                <w:szCs w:val="21"/>
              </w:rPr>
            </w:pPr>
            <w:r>
              <w:rPr>
                <w:rFonts w:hint="eastAsia"/>
                <w:sz w:val="21"/>
                <w:szCs w:val="21"/>
              </w:rPr>
              <w:t>保温隔热材料厚度</w:t>
            </w:r>
          </w:p>
          <w:p>
            <w:pPr>
              <w:snapToGrid w:val="0"/>
              <w:spacing w:line="240" w:lineRule="auto"/>
              <w:jc w:val="center"/>
              <w:rPr>
                <w:sz w:val="21"/>
                <w:szCs w:val="21"/>
              </w:rPr>
            </w:pPr>
            <w:r>
              <w:rPr>
                <w:rFonts w:hint="eastAsia"/>
                <w:sz w:val="21"/>
                <w:szCs w:val="21"/>
              </w:rPr>
              <w:t>（mm）</w:t>
            </w:r>
          </w:p>
        </w:tc>
        <w:tc>
          <w:tcPr>
            <w:tcW w:w="1984" w:type="dxa"/>
            <w:vAlign w:val="center"/>
          </w:tcPr>
          <w:p>
            <w:pPr>
              <w:snapToGrid w:val="0"/>
              <w:spacing w:line="240" w:lineRule="auto"/>
              <w:jc w:val="center"/>
              <w:rPr>
                <w:sz w:val="21"/>
                <w:szCs w:val="21"/>
              </w:rPr>
            </w:pPr>
            <w:r>
              <w:rPr>
                <w:rFonts w:hint="eastAsia"/>
                <w:sz w:val="21"/>
                <w:szCs w:val="21"/>
              </w:rPr>
              <w:t>热阻</w:t>
            </w:r>
          </w:p>
          <w:p>
            <w:pPr>
              <w:snapToGrid w:val="0"/>
              <w:spacing w:line="240" w:lineRule="auto"/>
              <w:jc w:val="center"/>
              <w:rPr>
                <w:sz w:val="21"/>
                <w:szCs w:val="21"/>
              </w:rPr>
            </w:pPr>
            <w:r>
              <w:rPr>
                <w:rFonts w:hint="eastAsia"/>
                <w:sz w:val="21"/>
                <w:szCs w:val="21"/>
              </w:rPr>
              <w:t>[</w:t>
            </w:r>
            <w:r>
              <w:rPr>
                <w:sz w:val="21"/>
                <w:szCs w:val="21"/>
              </w:rPr>
              <w:t>m</w:t>
            </w:r>
            <w:r>
              <w:rPr>
                <w:rFonts w:hint="eastAsia"/>
                <w:sz w:val="21"/>
                <w:szCs w:val="21"/>
              </w:rPr>
              <w:t>²</w:t>
            </w:r>
            <w:r>
              <w:rPr>
                <w:rFonts w:cs="Times New Roman"/>
                <w:sz w:val="21"/>
                <w:szCs w:val="21"/>
              </w:rPr>
              <w:t>·</w:t>
            </w:r>
            <w:r>
              <w:rPr>
                <w:sz w:val="21"/>
                <w:szCs w:val="21"/>
              </w:rPr>
              <w:t>K</w:t>
            </w:r>
            <w:r>
              <w:rPr>
                <w:rFonts w:hint="eastAsia"/>
                <w:sz w:val="21"/>
                <w:szCs w:val="21"/>
              </w:rPr>
              <w:t>/</w:t>
            </w:r>
            <w:r>
              <w:rPr>
                <w:sz w:val="21"/>
                <w:szCs w:val="21"/>
              </w:rPr>
              <w:t>W</w:t>
            </w:r>
            <w:r>
              <w:rPr>
                <w:rFonts w:hint="eastAsia"/>
                <w:sz w:val="21"/>
                <w:szCs w:val="21"/>
              </w:rPr>
              <w:t>]</w:t>
            </w:r>
          </w:p>
        </w:tc>
        <w:tc>
          <w:tcPr>
            <w:tcW w:w="1984" w:type="dxa"/>
            <w:vAlign w:val="center"/>
          </w:tcPr>
          <w:p>
            <w:pPr>
              <w:snapToGrid w:val="0"/>
              <w:spacing w:line="240" w:lineRule="auto"/>
              <w:jc w:val="center"/>
              <w:rPr>
                <w:sz w:val="21"/>
                <w:szCs w:val="21"/>
              </w:rPr>
            </w:pPr>
            <w:r>
              <w:rPr>
                <w:rFonts w:hint="eastAsia"/>
                <w:sz w:val="21"/>
                <w:szCs w:val="21"/>
              </w:rPr>
              <w:t>传热系数</w:t>
            </w:r>
          </w:p>
          <w:p>
            <w:pPr>
              <w:snapToGrid w:val="0"/>
              <w:spacing w:line="240" w:lineRule="auto"/>
              <w:jc w:val="center"/>
              <w:rPr>
                <w:sz w:val="21"/>
                <w:szCs w:val="21"/>
              </w:rPr>
            </w:pPr>
            <w:r>
              <w:rPr>
                <w:rFonts w:hint="eastAsia"/>
                <w:sz w:val="21"/>
                <w:szCs w:val="21"/>
              </w:rPr>
              <w:t>[W/(m²</w:t>
            </w:r>
            <w:r>
              <w:rPr>
                <w:rFonts w:cs="Times New Roman"/>
                <w:sz w:val="21"/>
                <w:szCs w:val="21"/>
              </w:rPr>
              <w:t>·</w:t>
            </w:r>
            <w:r>
              <w:rPr>
                <w:rFonts w:hint="eastAsia"/>
                <w:sz w:val="21"/>
                <w:szCs w:val="21"/>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160</w:t>
            </w:r>
          </w:p>
        </w:tc>
        <w:tc>
          <w:tcPr>
            <w:tcW w:w="2154" w:type="dxa"/>
            <w:vAlign w:val="center"/>
          </w:tcPr>
          <w:p>
            <w:pPr>
              <w:snapToGrid w:val="0"/>
              <w:spacing w:line="240" w:lineRule="auto"/>
              <w:jc w:val="center"/>
              <w:rPr>
                <w:sz w:val="21"/>
                <w:szCs w:val="21"/>
              </w:rPr>
            </w:pPr>
            <w:r>
              <w:rPr>
                <w:rFonts w:hint="eastAsia"/>
                <w:sz w:val="21"/>
                <w:szCs w:val="21"/>
              </w:rPr>
              <w:t>1000</w:t>
            </w:r>
          </w:p>
        </w:tc>
        <w:tc>
          <w:tcPr>
            <w:tcW w:w="1984" w:type="dxa"/>
            <w:vAlign w:val="center"/>
          </w:tcPr>
          <w:p>
            <w:pPr>
              <w:snapToGrid w:val="0"/>
              <w:spacing w:line="240" w:lineRule="auto"/>
              <w:jc w:val="center"/>
              <w:rPr>
                <w:sz w:val="21"/>
                <w:szCs w:val="21"/>
              </w:rPr>
            </w:pPr>
            <w:r>
              <w:rPr>
                <w:rFonts w:hint="eastAsia"/>
                <w:sz w:val="21"/>
                <w:szCs w:val="21"/>
              </w:rPr>
              <w:t>1.276</w:t>
            </w:r>
          </w:p>
        </w:tc>
        <w:tc>
          <w:tcPr>
            <w:tcW w:w="1984" w:type="dxa"/>
            <w:vAlign w:val="center"/>
          </w:tcPr>
          <w:p>
            <w:pPr>
              <w:snapToGrid w:val="0"/>
              <w:spacing w:line="240" w:lineRule="auto"/>
              <w:jc w:val="center"/>
              <w:rPr>
                <w:sz w:val="21"/>
                <w:szCs w:val="21"/>
              </w:rPr>
            </w:pPr>
            <w:r>
              <w:rPr>
                <w:rFonts w:hint="eastAsia"/>
                <w:sz w:val="21"/>
                <w:szCs w:val="21"/>
              </w:rPr>
              <w:t>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180</w:t>
            </w:r>
          </w:p>
        </w:tc>
        <w:tc>
          <w:tcPr>
            <w:tcW w:w="2154" w:type="dxa"/>
            <w:vAlign w:val="center"/>
          </w:tcPr>
          <w:p>
            <w:pPr>
              <w:snapToGrid w:val="0"/>
              <w:spacing w:line="240" w:lineRule="auto"/>
              <w:jc w:val="center"/>
              <w:rPr>
                <w:sz w:val="21"/>
                <w:szCs w:val="21"/>
              </w:rPr>
            </w:pPr>
            <w:r>
              <w:rPr>
                <w:rFonts w:hint="eastAsia"/>
                <w:sz w:val="21"/>
                <w:szCs w:val="21"/>
              </w:rPr>
              <w:t>120</w:t>
            </w:r>
          </w:p>
        </w:tc>
        <w:tc>
          <w:tcPr>
            <w:tcW w:w="1984" w:type="dxa"/>
            <w:vAlign w:val="center"/>
          </w:tcPr>
          <w:p>
            <w:pPr>
              <w:snapToGrid w:val="0"/>
              <w:spacing w:line="240" w:lineRule="auto"/>
              <w:jc w:val="center"/>
              <w:rPr>
                <w:sz w:val="21"/>
                <w:szCs w:val="21"/>
              </w:rPr>
            </w:pPr>
            <w:r>
              <w:rPr>
                <w:rFonts w:hint="eastAsia"/>
                <w:sz w:val="21"/>
                <w:szCs w:val="21"/>
              </w:rPr>
              <w:t>1.512</w:t>
            </w:r>
          </w:p>
        </w:tc>
        <w:tc>
          <w:tcPr>
            <w:tcW w:w="1984" w:type="dxa"/>
            <w:vAlign w:val="center"/>
          </w:tcPr>
          <w:p>
            <w:pPr>
              <w:snapToGrid w:val="0"/>
              <w:spacing w:line="240" w:lineRule="auto"/>
              <w:jc w:val="center"/>
              <w:rPr>
                <w:sz w:val="21"/>
                <w:szCs w:val="21"/>
              </w:rPr>
            </w:pPr>
            <w:r>
              <w:rPr>
                <w:rFonts w:hint="eastAsia"/>
                <w:sz w:val="21"/>
                <w:szCs w:val="21"/>
              </w:rPr>
              <w:t>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200</w:t>
            </w:r>
          </w:p>
        </w:tc>
        <w:tc>
          <w:tcPr>
            <w:tcW w:w="2154" w:type="dxa"/>
            <w:vAlign w:val="center"/>
          </w:tcPr>
          <w:p>
            <w:pPr>
              <w:snapToGrid w:val="0"/>
              <w:spacing w:line="240" w:lineRule="auto"/>
              <w:jc w:val="center"/>
              <w:rPr>
                <w:sz w:val="21"/>
                <w:szCs w:val="21"/>
              </w:rPr>
            </w:pPr>
            <w:r>
              <w:rPr>
                <w:rFonts w:hint="eastAsia"/>
                <w:sz w:val="21"/>
                <w:szCs w:val="21"/>
              </w:rPr>
              <w:t>140</w:t>
            </w:r>
          </w:p>
        </w:tc>
        <w:tc>
          <w:tcPr>
            <w:tcW w:w="1984" w:type="dxa"/>
            <w:vAlign w:val="center"/>
          </w:tcPr>
          <w:p>
            <w:pPr>
              <w:snapToGrid w:val="0"/>
              <w:spacing w:line="240" w:lineRule="auto"/>
              <w:jc w:val="center"/>
              <w:rPr>
                <w:sz w:val="21"/>
                <w:szCs w:val="21"/>
              </w:rPr>
            </w:pPr>
            <w:r>
              <w:rPr>
                <w:rFonts w:hint="eastAsia"/>
                <w:sz w:val="21"/>
                <w:szCs w:val="21"/>
              </w:rPr>
              <w:t>1.747</w:t>
            </w:r>
          </w:p>
        </w:tc>
        <w:tc>
          <w:tcPr>
            <w:tcW w:w="1984" w:type="dxa"/>
            <w:vAlign w:val="center"/>
          </w:tcPr>
          <w:p>
            <w:pPr>
              <w:snapToGrid w:val="0"/>
              <w:spacing w:line="240" w:lineRule="auto"/>
              <w:jc w:val="center"/>
              <w:rPr>
                <w:sz w:val="21"/>
                <w:szCs w:val="21"/>
              </w:rPr>
            </w:pPr>
            <w:r>
              <w:rPr>
                <w:rFonts w:hint="eastAsia"/>
                <w:sz w:val="21"/>
                <w:szCs w:val="21"/>
              </w:rPr>
              <w:t>0.527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240</w:t>
            </w:r>
          </w:p>
        </w:tc>
        <w:tc>
          <w:tcPr>
            <w:tcW w:w="2154" w:type="dxa"/>
            <w:vAlign w:val="center"/>
          </w:tcPr>
          <w:p>
            <w:pPr>
              <w:snapToGrid w:val="0"/>
              <w:spacing w:line="240" w:lineRule="auto"/>
              <w:jc w:val="center"/>
              <w:rPr>
                <w:sz w:val="21"/>
                <w:szCs w:val="21"/>
              </w:rPr>
            </w:pPr>
            <w:r>
              <w:rPr>
                <w:rFonts w:hint="eastAsia"/>
                <w:sz w:val="21"/>
                <w:szCs w:val="21"/>
              </w:rPr>
              <w:t>180</w:t>
            </w:r>
          </w:p>
        </w:tc>
        <w:tc>
          <w:tcPr>
            <w:tcW w:w="1984" w:type="dxa"/>
            <w:vAlign w:val="center"/>
          </w:tcPr>
          <w:p>
            <w:pPr>
              <w:snapToGrid w:val="0"/>
              <w:spacing w:line="240" w:lineRule="auto"/>
              <w:jc w:val="center"/>
              <w:rPr>
                <w:sz w:val="21"/>
                <w:szCs w:val="21"/>
              </w:rPr>
            </w:pPr>
            <w:r>
              <w:rPr>
                <w:rFonts w:hint="eastAsia"/>
                <w:sz w:val="21"/>
                <w:szCs w:val="21"/>
              </w:rPr>
              <w:t>2.214</w:t>
            </w:r>
          </w:p>
        </w:tc>
        <w:tc>
          <w:tcPr>
            <w:tcW w:w="1984" w:type="dxa"/>
            <w:vAlign w:val="center"/>
          </w:tcPr>
          <w:p>
            <w:pPr>
              <w:snapToGrid w:val="0"/>
              <w:spacing w:line="240" w:lineRule="auto"/>
              <w:jc w:val="center"/>
              <w:rPr>
                <w:sz w:val="21"/>
                <w:szCs w:val="21"/>
              </w:rPr>
            </w:pPr>
            <w:r>
              <w:rPr>
                <w:rFonts w:hint="eastAsia"/>
                <w:sz w:val="21"/>
                <w:szCs w:val="21"/>
              </w:rPr>
              <w:t>0.423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300</w:t>
            </w:r>
          </w:p>
        </w:tc>
        <w:tc>
          <w:tcPr>
            <w:tcW w:w="2154" w:type="dxa"/>
            <w:vAlign w:val="center"/>
          </w:tcPr>
          <w:p>
            <w:pPr>
              <w:snapToGrid w:val="0"/>
              <w:spacing w:line="240" w:lineRule="auto"/>
              <w:jc w:val="center"/>
              <w:rPr>
                <w:sz w:val="21"/>
                <w:szCs w:val="21"/>
              </w:rPr>
            </w:pPr>
            <w:r>
              <w:rPr>
                <w:rFonts w:hint="eastAsia"/>
                <w:sz w:val="21"/>
                <w:szCs w:val="21"/>
              </w:rPr>
              <w:t>240</w:t>
            </w:r>
          </w:p>
        </w:tc>
        <w:tc>
          <w:tcPr>
            <w:tcW w:w="1984" w:type="dxa"/>
            <w:vAlign w:val="center"/>
          </w:tcPr>
          <w:p>
            <w:pPr>
              <w:snapToGrid w:val="0"/>
              <w:spacing w:line="240" w:lineRule="auto"/>
              <w:jc w:val="center"/>
              <w:rPr>
                <w:sz w:val="21"/>
                <w:szCs w:val="21"/>
              </w:rPr>
            </w:pPr>
            <w:r>
              <w:rPr>
                <w:rFonts w:hint="eastAsia"/>
                <w:sz w:val="21"/>
                <w:szCs w:val="21"/>
              </w:rPr>
              <w:t>2.912</w:t>
            </w:r>
          </w:p>
        </w:tc>
        <w:tc>
          <w:tcPr>
            <w:tcW w:w="1984" w:type="dxa"/>
            <w:vAlign w:val="center"/>
          </w:tcPr>
          <w:p>
            <w:pPr>
              <w:snapToGrid w:val="0"/>
              <w:spacing w:line="240" w:lineRule="auto"/>
              <w:jc w:val="center"/>
              <w:rPr>
                <w:sz w:val="21"/>
                <w:szCs w:val="21"/>
              </w:rPr>
            </w:pPr>
            <w:r>
              <w:rPr>
                <w:rFonts w:hint="eastAsia"/>
                <w:sz w:val="21"/>
                <w:szCs w:val="21"/>
              </w:rPr>
              <w:t>0.327</w:t>
            </w:r>
          </w:p>
        </w:tc>
      </w:tr>
    </w:tbl>
    <w:p>
      <w:pPr>
        <w:ind w:firstLine="360" w:firstLineChars="200"/>
        <w:rPr>
          <w:sz w:val="18"/>
          <w:szCs w:val="18"/>
        </w:rPr>
      </w:pPr>
      <w:r>
        <w:rPr>
          <w:rFonts w:hint="eastAsia"/>
          <w:sz w:val="18"/>
          <w:szCs w:val="18"/>
        </w:rPr>
        <w:t>注：表中计算使用的保温隔热材料导热系数为0.039W/m</w:t>
      </w:r>
      <w:r>
        <w:rPr>
          <w:rFonts w:cs="Times New Roman"/>
          <w:sz w:val="18"/>
          <w:szCs w:val="18"/>
        </w:rPr>
        <w:t>·</w:t>
      </w:r>
      <w:r>
        <w:rPr>
          <w:rFonts w:hint="eastAsia"/>
          <w:sz w:val="18"/>
          <w:szCs w:val="18"/>
        </w:rPr>
        <w:t>K，注浆料导热系数为0.16W/m</w:t>
      </w:r>
      <w:r>
        <w:rPr>
          <w:rFonts w:cs="Times New Roman"/>
          <w:sz w:val="18"/>
          <w:szCs w:val="18"/>
        </w:rPr>
        <w:t>·</w:t>
      </w:r>
      <w:r>
        <w:rPr>
          <w:rFonts w:hint="eastAsia"/>
          <w:sz w:val="18"/>
          <w:szCs w:val="18"/>
        </w:rPr>
        <w:t>K。</w:t>
      </w:r>
    </w:p>
    <w:p>
      <w:pPr>
        <w:snapToGrid w:val="0"/>
        <w:ind w:firstLine="482" w:firstLineChars="200"/>
        <w:rPr>
          <w:sz w:val="21"/>
          <w:szCs w:val="21"/>
        </w:rPr>
      </w:pPr>
      <w:r>
        <w:rPr>
          <w:rFonts w:hint="eastAsia" w:cs="Times New Roman"/>
          <w:b/>
          <w:bCs/>
        </w:rPr>
        <w:t xml:space="preserve">2 </w:t>
      </w:r>
      <w:r>
        <w:rPr>
          <w:rFonts w:hint="eastAsia"/>
        </w:rPr>
        <w:t>选用图4.3.2-2墙体构造时，不同厚度的传热系数按照表4.3.2-2采用。</w:t>
      </w:r>
    </w:p>
    <w:p>
      <w:pPr>
        <w:snapToGrid w:val="0"/>
        <w:jc w:val="center"/>
        <w:rPr>
          <w:rFonts w:ascii="宋体" w:hAnsi="宋体" w:cs="宋体"/>
          <w:b/>
          <w:bCs/>
          <w:sz w:val="20"/>
        </w:rPr>
      </w:pPr>
      <w:r>
        <w:rPr>
          <w:rFonts w:hint="eastAsia" w:ascii="宋体" w:hAnsi="宋体" w:cs="宋体"/>
          <w:b/>
          <w:bCs/>
          <w:sz w:val="20"/>
        </w:rPr>
        <w:drawing>
          <wp:inline distT="0" distB="0" distL="114300" distR="114300">
            <wp:extent cx="5189855" cy="1167765"/>
            <wp:effectExtent l="0" t="0" r="10795" b="13335"/>
            <wp:docPr id="33" name="图片 33" descr="F:/2023/标准/图片/QQ截图20231128100618.jpgQQ截图20231128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2023/标准/图片/QQ截图20231128100618.jpgQQ截图20231128100618"/>
                    <pic:cNvPicPr>
                      <a:picLocks noChangeAspect="1"/>
                    </pic:cNvPicPr>
                  </pic:nvPicPr>
                  <pic:blipFill>
                    <a:blip r:embed="rId15"/>
                    <a:srcRect t="5096" r="801" b="13831"/>
                    <a:stretch>
                      <a:fillRect/>
                    </a:stretch>
                  </pic:blipFill>
                  <pic:spPr>
                    <a:xfrm>
                      <a:off x="0" y="0"/>
                      <a:ext cx="5188585" cy="1167695"/>
                    </a:xfrm>
                    <a:prstGeom prst="rect">
                      <a:avLst/>
                    </a:prstGeom>
                  </pic:spPr>
                </pic:pic>
              </a:graphicData>
            </a:graphic>
          </wp:inline>
        </w:drawing>
      </w:r>
    </w:p>
    <w:p>
      <w:pPr>
        <w:jc w:val="center"/>
        <w:rPr>
          <w:b/>
          <w:bCs/>
          <w:sz w:val="21"/>
          <w:szCs w:val="21"/>
        </w:rPr>
      </w:pPr>
      <w:r>
        <w:rPr>
          <w:rFonts w:hint="eastAsia"/>
          <w:b/>
          <w:bCs/>
          <w:sz w:val="21"/>
          <w:szCs w:val="21"/>
        </w:rPr>
        <w:t>图4.3.2-2  常用墙体构造（二）</w:t>
      </w:r>
    </w:p>
    <w:p>
      <w:pPr>
        <w:jc w:val="center"/>
        <w:rPr>
          <w:rFonts w:cs="Times New Roman"/>
          <w:b/>
          <w:bCs/>
          <w:sz w:val="18"/>
          <w:szCs w:val="18"/>
        </w:rPr>
      </w:pPr>
      <w:r>
        <w:rPr>
          <w:rFonts w:hint="eastAsia"/>
          <w:sz w:val="18"/>
          <w:szCs w:val="18"/>
        </w:rPr>
        <w:t>1-墙面板；2-连接件；3-自攻螺钉；4-保温隔热材料；5-注仓料</w:t>
      </w:r>
    </w:p>
    <w:p>
      <w:pPr>
        <w:snapToGrid w:val="0"/>
        <w:jc w:val="center"/>
        <w:rPr>
          <w:rFonts w:cs="Times New Roman"/>
          <w:sz w:val="21"/>
          <w:szCs w:val="21"/>
        </w:rPr>
      </w:pPr>
      <w:r>
        <w:rPr>
          <w:rFonts w:cs="Times New Roman"/>
          <w:b/>
          <w:bCs/>
          <w:sz w:val="21"/>
          <w:szCs w:val="21"/>
        </w:rPr>
        <w:t>表4.3.2-2 不同厚度墙体热阻及传热系数</w:t>
      </w:r>
    </w:p>
    <w:tbl>
      <w:tblPr>
        <w:tblStyle w:val="17"/>
        <w:tblW w:w="7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154"/>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napToGrid w:val="0"/>
              <w:spacing w:line="240" w:lineRule="auto"/>
              <w:jc w:val="center"/>
              <w:rPr>
                <w:sz w:val="21"/>
                <w:szCs w:val="21"/>
              </w:rPr>
            </w:pPr>
            <w:r>
              <w:rPr>
                <w:rFonts w:hint="eastAsia"/>
                <w:sz w:val="21"/>
                <w:szCs w:val="21"/>
              </w:rPr>
              <w:t>墙厚</w:t>
            </w:r>
          </w:p>
          <w:p>
            <w:pPr>
              <w:snapToGrid w:val="0"/>
              <w:spacing w:line="240" w:lineRule="auto"/>
              <w:jc w:val="center"/>
              <w:rPr>
                <w:sz w:val="21"/>
                <w:szCs w:val="21"/>
              </w:rPr>
            </w:pPr>
            <w:r>
              <w:rPr>
                <w:rFonts w:hint="eastAsia"/>
                <w:sz w:val="21"/>
                <w:szCs w:val="21"/>
              </w:rPr>
              <w:t>（mm）</w:t>
            </w:r>
          </w:p>
        </w:tc>
        <w:tc>
          <w:tcPr>
            <w:tcW w:w="2154" w:type="dxa"/>
            <w:vAlign w:val="center"/>
          </w:tcPr>
          <w:p>
            <w:pPr>
              <w:snapToGrid w:val="0"/>
              <w:spacing w:line="240" w:lineRule="auto"/>
              <w:jc w:val="center"/>
              <w:rPr>
                <w:sz w:val="21"/>
                <w:szCs w:val="21"/>
              </w:rPr>
            </w:pPr>
            <w:r>
              <w:rPr>
                <w:rFonts w:hint="eastAsia"/>
                <w:sz w:val="21"/>
                <w:szCs w:val="21"/>
              </w:rPr>
              <w:t>保温隔热材料厚度</w:t>
            </w:r>
          </w:p>
          <w:p>
            <w:pPr>
              <w:snapToGrid w:val="0"/>
              <w:spacing w:line="240" w:lineRule="auto"/>
              <w:jc w:val="center"/>
              <w:rPr>
                <w:sz w:val="21"/>
                <w:szCs w:val="21"/>
              </w:rPr>
            </w:pPr>
            <w:r>
              <w:rPr>
                <w:rFonts w:hint="eastAsia"/>
                <w:sz w:val="21"/>
                <w:szCs w:val="21"/>
              </w:rPr>
              <w:t>（mm）</w:t>
            </w:r>
          </w:p>
        </w:tc>
        <w:tc>
          <w:tcPr>
            <w:tcW w:w="1984" w:type="dxa"/>
            <w:vAlign w:val="center"/>
          </w:tcPr>
          <w:p>
            <w:pPr>
              <w:snapToGrid w:val="0"/>
              <w:spacing w:line="240" w:lineRule="auto"/>
              <w:jc w:val="center"/>
              <w:rPr>
                <w:sz w:val="21"/>
                <w:szCs w:val="21"/>
              </w:rPr>
            </w:pPr>
            <w:r>
              <w:rPr>
                <w:rFonts w:hint="eastAsia"/>
                <w:sz w:val="21"/>
                <w:szCs w:val="21"/>
              </w:rPr>
              <w:t>热阻</w:t>
            </w:r>
          </w:p>
          <w:p>
            <w:pPr>
              <w:snapToGrid w:val="0"/>
              <w:spacing w:line="240" w:lineRule="auto"/>
              <w:jc w:val="center"/>
              <w:rPr>
                <w:sz w:val="21"/>
                <w:szCs w:val="21"/>
              </w:rPr>
            </w:pPr>
            <w:r>
              <w:rPr>
                <w:rFonts w:hint="eastAsia"/>
                <w:sz w:val="21"/>
                <w:szCs w:val="21"/>
              </w:rPr>
              <w:t>[</w:t>
            </w:r>
            <w:r>
              <w:rPr>
                <w:sz w:val="21"/>
                <w:szCs w:val="21"/>
              </w:rPr>
              <w:t>m</w:t>
            </w:r>
            <w:r>
              <w:rPr>
                <w:rFonts w:hint="eastAsia"/>
                <w:sz w:val="21"/>
                <w:szCs w:val="21"/>
              </w:rPr>
              <w:t>²</w:t>
            </w:r>
            <w:r>
              <w:rPr>
                <w:rFonts w:cs="Times New Roman"/>
                <w:sz w:val="21"/>
                <w:szCs w:val="21"/>
              </w:rPr>
              <w:t>·</w:t>
            </w:r>
            <w:r>
              <w:rPr>
                <w:sz w:val="21"/>
                <w:szCs w:val="21"/>
              </w:rPr>
              <w:t>K</w:t>
            </w:r>
            <w:r>
              <w:rPr>
                <w:rFonts w:hint="eastAsia"/>
                <w:sz w:val="21"/>
                <w:szCs w:val="21"/>
              </w:rPr>
              <w:t>/</w:t>
            </w:r>
            <w:r>
              <w:rPr>
                <w:sz w:val="21"/>
                <w:szCs w:val="21"/>
              </w:rPr>
              <w:t>W</w:t>
            </w:r>
            <w:r>
              <w:rPr>
                <w:rFonts w:hint="eastAsia"/>
                <w:sz w:val="21"/>
                <w:szCs w:val="21"/>
              </w:rPr>
              <w:t>]</w:t>
            </w:r>
          </w:p>
        </w:tc>
        <w:tc>
          <w:tcPr>
            <w:tcW w:w="1984" w:type="dxa"/>
            <w:vAlign w:val="center"/>
          </w:tcPr>
          <w:p>
            <w:pPr>
              <w:snapToGrid w:val="0"/>
              <w:spacing w:line="240" w:lineRule="auto"/>
              <w:jc w:val="center"/>
              <w:rPr>
                <w:sz w:val="21"/>
                <w:szCs w:val="21"/>
              </w:rPr>
            </w:pPr>
            <w:r>
              <w:rPr>
                <w:rFonts w:hint="eastAsia"/>
                <w:sz w:val="21"/>
                <w:szCs w:val="21"/>
              </w:rPr>
              <w:t>传热系数</w:t>
            </w:r>
          </w:p>
          <w:p>
            <w:pPr>
              <w:snapToGrid w:val="0"/>
              <w:spacing w:line="240" w:lineRule="auto"/>
              <w:jc w:val="center"/>
              <w:rPr>
                <w:sz w:val="21"/>
                <w:szCs w:val="21"/>
              </w:rPr>
            </w:pPr>
            <w:r>
              <w:rPr>
                <w:rFonts w:hint="eastAsia"/>
                <w:sz w:val="21"/>
                <w:szCs w:val="21"/>
              </w:rPr>
              <w:t>[W/(m²</w:t>
            </w:r>
            <w:r>
              <w:rPr>
                <w:rFonts w:cs="Times New Roman"/>
                <w:sz w:val="21"/>
                <w:szCs w:val="21"/>
              </w:rPr>
              <w:t>·</w:t>
            </w:r>
            <w:r>
              <w:rPr>
                <w:rFonts w:hint="eastAsia"/>
                <w:sz w:val="21"/>
                <w:szCs w:val="21"/>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160</w:t>
            </w:r>
          </w:p>
        </w:tc>
        <w:tc>
          <w:tcPr>
            <w:tcW w:w="2154" w:type="dxa"/>
            <w:vAlign w:val="center"/>
          </w:tcPr>
          <w:p>
            <w:pPr>
              <w:snapToGrid w:val="0"/>
              <w:spacing w:line="240" w:lineRule="auto"/>
              <w:jc w:val="center"/>
              <w:rPr>
                <w:sz w:val="21"/>
                <w:szCs w:val="21"/>
              </w:rPr>
            </w:pPr>
            <w:r>
              <w:rPr>
                <w:rFonts w:hint="eastAsia"/>
                <w:sz w:val="21"/>
                <w:szCs w:val="21"/>
              </w:rPr>
              <w:t>60</w:t>
            </w:r>
          </w:p>
        </w:tc>
        <w:tc>
          <w:tcPr>
            <w:tcW w:w="1984" w:type="dxa"/>
            <w:vAlign w:val="center"/>
          </w:tcPr>
          <w:p>
            <w:pPr>
              <w:snapToGrid w:val="0"/>
              <w:spacing w:line="240" w:lineRule="auto"/>
              <w:jc w:val="center"/>
              <w:rPr>
                <w:sz w:val="21"/>
                <w:szCs w:val="21"/>
              </w:rPr>
            </w:pPr>
            <w:r>
              <w:rPr>
                <w:rFonts w:hint="eastAsia"/>
                <w:sz w:val="21"/>
                <w:szCs w:val="21"/>
              </w:rPr>
              <w:t>1.019</w:t>
            </w:r>
          </w:p>
        </w:tc>
        <w:tc>
          <w:tcPr>
            <w:tcW w:w="1984" w:type="dxa"/>
            <w:vAlign w:val="center"/>
          </w:tcPr>
          <w:p>
            <w:pPr>
              <w:snapToGrid w:val="0"/>
              <w:spacing w:line="240" w:lineRule="auto"/>
              <w:jc w:val="center"/>
              <w:rPr>
                <w:sz w:val="21"/>
                <w:szCs w:val="21"/>
              </w:rPr>
            </w:pPr>
            <w:r>
              <w:rPr>
                <w:rFonts w:hint="eastAsia"/>
                <w:sz w:val="21"/>
                <w:szCs w:val="21"/>
              </w:rPr>
              <w:t>0.856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180</w:t>
            </w:r>
          </w:p>
        </w:tc>
        <w:tc>
          <w:tcPr>
            <w:tcW w:w="2154" w:type="dxa"/>
            <w:vAlign w:val="center"/>
          </w:tcPr>
          <w:p>
            <w:pPr>
              <w:snapToGrid w:val="0"/>
              <w:spacing w:line="240" w:lineRule="auto"/>
              <w:jc w:val="center"/>
              <w:rPr>
                <w:sz w:val="21"/>
                <w:szCs w:val="21"/>
              </w:rPr>
            </w:pPr>
            <w:r>
              <w:rPr>
                <w:rFonts w:hint="eastAsia"/>
                <w:sz w:val="21"/>
                <w:szCs w:val="21"/>
              </w:rPr>
              <w:t>80</w:t>
            </w:r>
          </w:p>
        </w:tc>
        <w:tc>
          <w:tcPr>
            <w:tcW w:w="1984" w:type="dxa"/>
            <w:vAlign w:val="center"/>
          </w:tcPr>
          <w:p>
            <w:pPr>
              <w:snapToGrid w:val="0"/>
              <w:spacing w:line="240" w:lineRule="auto"/>
              <w:jc w:val="center"/>
              <w:rPr>
                <w:sz w:val="21"/>
                <w:szCs w:val="21"/>
              </w:rPr>
            </w:pPr>
            <w:r>
              <w:rPr>
                <w:rFonts w:hint="eastAsia"/>
                <w:sz w:val="21"/>
                <w:szCs w:val="21"/>
              </w:rPr>
              <w:t>1.259</w:t>
            </w:r>
          </w:p>
        </w:tc>
        <w:tc>
          <w:tcPr>
            <w:tcW w:w="1984" w:type="dxa"/>
            <w:vAlign w:val="center"/>
          </w:tcPr>
          <w:p>
            <w:pPr>
              <w:snapToGrid w:val="0"/>
              <w:spacing w:line="240" w:lineRule="auto"/>
              <w:jc w:val="center"/>
              <w:rPr>
                <w:sz w:val="21"/>
                <w:szCs w:val="21"/>
              </w:rPr>
            </w:pPr>
            <w:r>
              <w:rPr>
                <w:rFonts w:hint="eastAsia"/>
                <w:sz w:val="21"/>
                <w:szCs w:val="21"/>
              </w:rPr>
              <w:t>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200</w:t>
            </w:r>
          </w:p>
        </w:tc>
        <w:tc>
          <w:tcPr>
            <w:tcW w:w="2154" w:type="dxa"/>
            <w:vAlign w:val="center"/>
          </w:tcPr>
          <w:p>
            <w:pPr>
              <w:snapToGrid w:val="0"/>
              <w:spacing w:line="240" w:lineRule="auto"/>
              <w:jc w:val="center"/>
              <w:rPr>
                <w:sz w:val="21"/>
                <w:szCs w:val="21"/>
              </w:rPr>
            </w:pPr>
            <w:r>
              <w:rPr>
                <w:rFonts w:hint="eastAsia"/>
                <w:sz w:val="21"/>
                <w:szCs w:val="21"/>
              </w:rPr>
              <w:t>100</w:t>
            </w:r>
          </w:p>
        </w:tc>
        <w:tc>
          <w:tcPr>
            <w:tcW w:w="1984" w:type="dxa"/>
            <w:vAlign w:val="center"/>
          </w:tcPr>
          <w:p>
            <w:pPr>
              <w:snapToGrid w:val="0"/>
              <w:spacing w:line="240" w:lineRule="auto"/>
              <w:jc w:val="center"/>
              <w:rPr>
                <w:sz w:val="21"/>
                <w:szCs w:val="21"/>
              </w:rPr>
            </w:pPr>
            <w:r>
              <w:rPr>
                <w:rFonts w:hint="eastAsia"/>
                <w:sz w:val="21"/>
                <w:szCs w:val="21"/>
              </w:rPr>
              <w:t>1.498</w:t>
            </w:r>
          </w:p>
        </w:tc>
        <w:tc>
          <w:tcPr>
            <w:tcW w:w="1984" w:type="dxa"/>
            <w:vAlign w:val="center"/>
          </w:tcPr>
          <w:p>
            <w:pPr>
              <w:snapToGrid w:val="0"/>
              <w:spacing w:line="240" w:lineRule="auto"/>
              <w:jc w:val="center"/>
              <w:rPr>
                <w:sz w:val="21"/>
                <w:szCs w:val="21"/>
              </w:rPr>
            </w:pPr>
            <w:r>
              <w:rPr>
                <w:rFonts w:hint="eastAsia"/>
                <w:sz w:val="21"/>
                <w:szCs w:val="21"/>
              </w:rPr>
              <w:t>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240</w:t>
            </w:r>
          </w:p>
        </w:tc>
        <w:tc>
          <w:tcPr>
            <w:tcW w:w="2154" w:type="dxa"/>
            <w:vAlign w:val="center"/>
          </w:tcPr>
          <w:p>
            <w:pPr>
              <w:snapToGrid w:val="0"/>
              <w:spacing w:line="240" w:lineRule="auto"/>
              <w:jc w:val="center"/>
              <w:rPr>
                <w:sz w:val="21"/>
                <w:szCs w:val="21"/>
              </w:rPr>
            </w:pPr>
            <w:r>
              <w:rPr>
                <w:rFonts w:hint="eastAsia"/>
                <w:sz w:val="21"/>
                <w:szCs w:val="21"/>
              </w:rPr>
              <w:t>140</w:t>
            </w:r>
          </w:p>
        </w:tc>
        <w:tc>
          <w:tcPr>
            <w:tcW w:w="1984" w:type="dxa"/>
            <w:vAlign w:val="center"/>
          </w:tcPr>
          <w:p>
            <w:pPr>
              <w:snapToGrid w:val="0"/>
              <w:spacing w:line="240" w:lineRule="auto"/>
              <w:jc w:val="center"/>
              <w:rPr>
                <w:sz w:val="21"/>
                <w:szCs w:val="21"/>
              </w:rPr>
            </w:pPr>
            <w:r>
              <w:rPr>
                <w:rFonts w:hint="eastAsia"/>
                <w:sz w:val="21"/>
                <w:szCs w:val="21"/>
              </w:rPr>
              <w:t>1.971</w:t>
            </w:r>
          </w:p>
        </w:tc>
        <w:tc>
          <w:tcPr>
            <w:tcW w:w="1984" w:type="dxa"/>
            <w:vAlign w:val="center"/>
          </w:tcPr>
          <w:p>
            <w:pPr>
              <w:snapToGrid w:val="0"/>
              <w:spacing w:line="240" w:lineRule="auto"/>
              <w:jc w:val="center"/>
              <w:rPr>
                <w:sz w:val="21"/>
                <w:szCs w:val="21"/>
              </w:rPr>
            </w:pPr>
            <w:r>
              <w:rPr>
                <w:rFonts w:hint="eastAsia"/>
                <w:sz w:val="21"/>
                <w:szCs w:val="21"/>
              </w:rPr>
              <w:t>0.472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snapToGrid w:val="0"/>
              <w:spacing w:line="240" w:lineRule="auto"/>
              <w:jc w:val="center"/>
              <w:rPr>
                <w:sz w:val="21"/>
                <w:szCs w:val="21"/>
              </w:rPr>
            </w:pPr>
            <w:r>
              <w:rPr>
                <w:rFonts w:hint="eastAsia"/>
                <w:sz w:val="21"/>
                <w:szCs w:val="21"/>
              </w:rPr>
              <w:t>300</w:t>
            </w:r>
          </w:p>
        </w:tc>
        <w:tc>
          <w:tcPr>
            <w:tcW w:w="2154" w:type="dxa"/>
            <w:vAlign w:val="center"/>
          </w:tcPr>
          <w:p>
            <w:pPr>
              <w:snapToGrid w:val="0"/>
              <w:spacing w:line="240" w:lineRule="auto"/>
              <w:jc w:val="center"/>
              <w:rPr>
                <w:sz w:val="21"/>
                <w:szCs w:val="21"/>
              </w:rPr>
            </w:pPr>
            <w:r>
              <w:rPr>
                <w:rFonts w:hint="eastAsia"/>
                <w:sz w:val="21"/>
                <w:szCs w:val="21"/>
              </w:rPr>
              <w:t>200</w:t>
            </w:r>
          </w:p>
        </w:tc>
        <w:tc>
          <w:tcPr>
            <w:tcW w:w="1984" w:type="dxa"/>
            <w:vAlign w:val="center"/>
          </w:tcPr>
          <w:p>
            <w:pPr>
              <w:snapToGrid w:val="0"/>
              <w:spacing w:line="240" w:lineRule="auto"/>
              <w:jc w:val="center"/>
              <w:rPr>
                <w:sz w:val="21"/>
                <w:szCs w:val="21"/>
              </w:rPr>
            </w:pPr>
            <w:r>
              <w:rPr>
                <w:rFonts w:hint="eastAsia"/>
                <w:sz w:val="21"/>
                <w:szCs w:val="21"/>
              </w:rPr>
              <w:t>2.674</w:t>
            </w:r>
          </w:p>
        </w:tc>
        <w:tc>
          <w:tcPr>
            <w:tcW w:w="1984" w:type="dxa"/>
            <w:vAlign w:val="center"/>
          </w:tcPr>
          <w:p>
            <w:pPr>
              <w:snapToGrid w:val="0"/>
              <w:spacing w:line="240" w:lineRule="auto"/>
              <w:jc w:val="center"/>
              <w:rPr>
                <w:sz w:val="21"/>
                <w:szCs w:val="21"/>
              </w:rPr>
            </w:pPr>
            <w:r>
              <w:rPr>
                <w:rFonts w:hint="eastAsia"/>
                <w:sz w:val="21"/>
                <w:szCs w:val="21"/>
              </w:rPr>
              <w:t>0.354</w:t>
            </w:r>
          </w:p>
        </w:tc>
      </w:tr>
    </w:tbl>
    <w:p>
      <w:pPr>
        <w:snapToGrid w:val="0"/>
        <w:ind w:firstLine="480"/>
        <w:rPr>
          <w:sz w:val="18"/>
          <w:szCs w:val="18"/>
        </w:rPr>
      </w:pPr>
      <w:r>
        <w:rPr>
          <w:rFonts w:hint="eastAsia"/>
          <w:sz w:val="18"/>
          <w:szCs w:val="18"/>
        </w:rPr>
        <w:t>注：表中计算使用的保温隔热材料导热系数为0.039W/m</w:t>
      </w:r>
      <w:r>
        <w:rPr>
          <w:rFonts w:cs="Times New Roman"/>
          <w:sz w:val="18"/>
          <w:szCs w:val="18"/>
        </w:rPr>
        <w:t>·</w:t>
      </w:r>
      <w:r>
        <w:rPr>
          <w:rFonts w:hint="eastAsia"/>
          <w:sz w:val="18"/>
          <w:szCs w:val="18"/>
        </w:rPr>
        <w:t>K，注浆料导热系数为0.16W/m</w:t>
      </w:r>
      <w:r>
        <w:rPr>
          <w:rFonts w:cs="Times New Roman"/>
          <w:sz w:val="18"/>
          <w:szCs w:val="18"/>
        </w:rPr>
        <w:t>·</w:t>
      </w:r>
      <w:r>
        <w:rPr>
          <w:rFonts w:hint="eastAsia"/>
          <w:sz w:val="18"/>
          <w:szCs w:val="18"/>
        </w:rPr>
        <w:t>K。</w:t>
      </w:r>
    </w:p>
    <w:p>
      <w:pPr>
        <w:pStyle w:val="8"/>
        <w:snapToGrid w:val="0"/>
        <w:rPr>
          <w:rFonts w:cs="Times New Roman"/>
        </w:rPr>
      </w:pPr>
      <w:r>
        <w:rPr>
          <w:rStyle w:val="22"/>
          <w:rFonts w:ascii="Times New Roman" w:hAnsi="Times New Roman" w:cs="Times New Roman"/>
        </w:rPr>
        <w:t>4.</w:t>
      </w:r>
      <w:r>
        <w:rPr>
          <w:rStyle w:val="22"/>
          <w:rFonts w:hint="eastAsia" w:ascii="Times New Roman" w:hAnsi="Times New Roman" w:cs="Times New Roman"/>
        </w:rPr>
        <w:t>3</w:t>
      </w:r>
      <w:r>
        <w:rPr>
          <w:rStyle w:val="22"/>
          <w:rFonts w:ascii="Times New Roman" w:hAnsi="Times New Roman" w:cs="Times New Roman"/>
        </w:rPr>
        <w:t>.3</w:t>
      </w:r>
      <w:r>
        <w:rPr>
          <w:rFonts w:cs="Times New Roman"/>
        </w:rPr>
        <w:t xml:space="preserve">  对于开孔、开槽、穿管及安装管线的部位，应预埋导管并使用注仓料填充密实。</w:t>
      </w:r>
    </w:p>
    <w:p>
      <w:pPr>
        <w:pStyle w:val="8"/>
        <w:snapToGrid w:val="0"/>
        <w:rPr>
          <w:rFonts w:cs="Times New Roman"/>
        </w:rPr>
      </w:pPr>
      <w:r>
        <w:rPr>
          <w:rStyle w:val="22"/>
          <w:rFonts w:ascii="Times New Roman" w:hAnsi="Times New Roman" w:cs="Times New Roman"/>
        </w:rPr>
        <w:t>4.</w:t>
      </w:r>
      <w:r>
        <w:rPr>
          <w:rStyle w:val="22"/>
          <w:rFonts w:hint="eastAsia" w:ascii="Times New Roman" w:hAnsi="Times New Roman" w:cs="Times New Roman"/>
        </w:rPr>
        <w:t>3</w:t>
      </w:r>
      <w:r>
        <w:rPr>
          <w:rStyle w:val="22"/>
          <w:rFonts w:ascii="Times New Roman" w:hAnsi="Times New Roman" w:cs="Times New Roman"/>
        </w:rPr>
        <w:t>.4</w:t>
      </w:r>
      <w:r>
        <w:rPr>
          <w:rFonts w:cs="Times New Roman"/>
        </w:rPr>
        <w:t xml:space="preserve">  外墙门窗洞口处的预制构件，中间应设置硬质保温条等断桥措施。</w:t>
      </w:r>
    </w:p>
    <w:p>
      <w:pPr>
        <w:pStyle w:val="4"/>
        <w:snapToGrid w:val="0"/>
        <w:spacing w:before="0" w:after="0" w:line="360" w:lineRule="auto"/>
        <w:rPr>
          <w:rStyle w:val="22"/>
          <w:rFonts w:ascii="Times New Roman" w:hAnsi="Times New Roman" w:cs="Times New Roman"/>
          <w:b/>
        </w:rPr>
      </w:pPr>
      <w:bookmarkStart w:id="68" w:name="_Toc19956"/>
      <w:bookmarkStart w:id="69" w:name="_Toc3978"/>
      <w:bookmarkStart w:id="70" w:name="_Toc10223"/>
      <w:bookmarkStart w:id="71" w:name="_Toc6863"/>
      <w:bookmarkStart w:id="72" w:name="_Toc20799"/>
      <w:r>
        <w:rPr>
          <w:rFonts w:ascii="Times New Roman" w:hAnsi="Times New Roman" w:cs="Times New Roman"/>
        </w:rPr>
        <w:t>4.4  构造措施</w:t>
      </w:r>
      <w:bookmarkEnd w:id="68"/>
      <w:bookmarkEnd w:id="69"/>
      <w:bookmarkEnd w:id="70"/>
      <w:bookmarkEnd w:id="71"/>
      <w:bookmarkEnd w:id="72"/>
    </w:p>
    <w:p>
      <w:pPr>
        <w:snapToGrid w:val="0"/>
        <w:rPr>
          <w:rFonts w:cs="Times New Roman"/>
        </w:rPr>
      </w:pPr>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w:t>
      </w:r>
      <w:r>
        <w:rPr>
          <w:rStyle w:val="22"/>
          <w:rFonts w:hint="eastAsia" w:ascii="Times New Roman" w:hAnsi="Times New Roman" w:cs="Times New Roman"/>
        </w:rPr>
        <w:t>1</w:t>
      </w:r>
      <w:r>
        <w:rPr>
          <w:rFonts w:cs="Times New Roman"/>
        </w:rPr>
        <w:t xml:space="preserve">  装配式复合轻质墙体的顶部与主体结构相连时，其高厚比不宜大于30。不应大于40。当高厚比大于40时，应设置圈梁。</w:t>
      </w:r>
    </w:p>
    <w:p>
      <w:pPr>
        <w:snapToGrid w:val="0"/>
        <w:rPr>
          <w:rFonts w:ascii="宋体" w:hAnsi="宋体" w:cs="宋体"/>
        </w:rPr>
      </w:pPr>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w:t>
      </w:r>
      <w:r>
        <w:rPr>
          <w:rStyle w:val="22"/>
          <w:rFonts w:hint="eastAsia" w:ascii="Times New Roman" w:hAnsi="Times New Roman" w:cs="Times New Roman"/>
        </w:rPr>
        <w:t xml:space="preserve">2 </w:t>
      </w:r>
      <w:r>
        <w:rPr>
          <w:rFonts w:hint="eastAsia"/>
        </w:rPr>
        <w:t>当采用混凝土圈梁时，圈梁宽度宜与墙厚相同，高度不小于60mm，纵筋直径不应小于10mm</w:t>
      </w:r>
      <w:r>
        <w:rPr>
          <w:rFonts w:hint="eastAsia" w:ascii="宋体" w:hAnsi="宋体" w:cs="宋体"/>
        </w:rPr>
        <w:t>。箍筋直径不应小于</w:t>
      </w:r>
      <w:r>
        <w:rPr>
          <w:rFonts w:hint="eastAsia"/>
        </w:rPr>
        <w:t>6mm</w:t>
      </w:r>
      <w:r>
        <w:rPr>
          <w:rFonts w:hint="eastAsia" w:ascii="宋体" w:hAnsi="宋体" w:cs="宋体"/>
        </w:rPr>
        <w:t>，间距不应大于</w:t>
      </w:r>
      <w:r>
        <w:rPr>
          <w:rFonts w:hint="eastAsia"/>
        </w:rPr>
        <w:t>300mm。</w:t>
      </w:r>
      <w:r>
        <w:rPr>
          <w:rFonts w:hint="eastAsia" w:ascii="宋体" w:hAnsi="宋体" w:cs="宋体"/>
        </w:rPr>
        <w:t>圈梁兼作过梁时，过梁部分钢筋另行增配。</w:t>
      </w:r>
    </w:p>
    <w:p>
      <w:pPr>
        <w:snapToGrid w:val="0"/>
        <w:rPr>
          <w:rFonts w:cs="Times New Roman"/>
          <w:sz w:val="21"/>
          <w:szCs w:val="21"/>
        </w:rPr>
      </w:pPr>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.3</w:t>
      </w:r>
      <w:r>
        <w:rPr>
          <w:rFonts w:cs="Times New Roman"/>
        </w:rPr>
        <w:t>预制构件包括墙面板、</w:t>
      </w:r>
      <w:r>
        <w:rPr>
          <w:rFonts w:hint="eastAsia" w:cs="Times New Roman"/>
        </w:rPr>
        <w:t>洞口板</w:t>
      </w:r>
      <w:r>
        <w:rPr>
          <w:rFonts w:cs="Times New Roman"/>
        </w:rPr>
        <w:t>和过梁板。预制构件之间使用连接件连接，常用预制构件和连接件规格宜符合附录A的规定。</w:t>
      </w:r>
    </w:p>
    <w:p>
      <w:pPr>
        <w:snapToGrid w:val="0"/>
        <w:rPr>
          <w:rFonts w:cs="Times New Roman"/>
        </w:rPr>
      </w:pPr>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.4</w:t>
      </w:r>
      <w:r>
        <w:rPr>
          <w:rFonts w:cs="Times New Roman"/>
        </w:rPr>
        <w:t> 墙面板安装在墙体两侧，应符合下列规定：</w:t>
      </w:r>
    </w:p>
    <w:p>
      <w:pPr>
        <w:snapToGrid w:val="0"/>
        <w:ind w:firstLine="482" w:firstLineChars="200"/>
        <w:rPr>
          <w:rFonts w:cs="Times New Roman"/>
        </w:rPr>
      </w:pPr>
      <w:r>
        <w:rPr>
          <w:rFonts w:cs="Times New Roman"/>
          <w:b/>
          <w:bCs/>
        </w:rPr>
        <w:t>1</w:t>
      </w:r>
      <w:r>
        <w:rPr>
          <w:rFonts w:cs="Times New Roman"/>
        </w:rPr>
        <w:t xml:space="preserve">  墙面板为预制混凝土板，厚度宜为30mm</w:t>
      </w:r>
      <w:r>
        <w:rPr>
          <w:rFonts w:cs="Times New Roman"/>
          <w:b/>
          <w:bCs/>
        </w:rPr>
        <w:t>，</w:t>
      </w:r>
      <w:r>
        <w:rPr>
          <w:rFonts w:cs="Times New Roman"/>
        </w:rPr>
        <w:t>宽度不宜大于500mm；</w:t>
      </w:r>
    </w:p>
    <w:p>
      <w:pPr>
        <w:snapToGrid w:val="0"/>
        <w:ind w:firstLine="482" w:firstLineChars="200"/>
        <w:rPr>
          <w:rFonts w:cs="Times New Roman"/>
        </w:rPr>
      </w:pPr>
      <w:r>
        <w:rPr>
          <w:rFonts w:cs="Times New Roman"/>
          <w:b/>
          <w:bCs/>
        </w:rPr>
        <w:t>2</w:t>
      </w:r>
      <w:r>
        <w:rPr>
          <w:rFonts w:cs="Times New Roman"/>
        </w:rPr>
        <w:t xml:space="preserve">  墙面板应均匀布置，同侧墙面板净距不宜小于50mm，不宜大于100mm。</w:t>
      </w:r>
    </w:p>
    <w:p>
      <w:pPr>
        <w:tabs>
          <w:tab w:val="left" w:pos="2220"/>
        </w:tabs>
        <w:snapToGrid w:val="0"/>
        <w:ind w:firstLine="482" w:firstLineChars="200"/>
        <w:jc w:val="both"/>
        <w:rPr>
          <w:rFonts w:cs="Times New Roman"/>
        </w:rPr>
      </w:pPr>
      <w:r>
        <w:rPr>
          <w:rFonts w:cs="Times New Roman"/>
          <w:b/>
          <w:bCs/>
        </w:rPr>
        <w:t>3</w:t>
      </w:r>
      <w:r>
        <w:rPr>
          <w:rFonts w:cs="Times New Roman"/>
        </w:rPr>
        <w:t xml:space="preserve">  墙体两侧的墙面板间应使用连接件进行加强连接，墙面板与连接件之间使用自攻螺钉连接（图4.</w:t>
      </w:r>
      <w:r>
        <w:rPr>
          <w:rFonts w:hint="eastAsia" w:cs="Times New Roman"/>
        </w:rPr>
        <w:t>4</w:t>
      </w:r>
      <w:r>
        <w:rPr>
          <w:rFonts w:cs="Times New Roman"/>
        </w:rPr>
        <w:t>.4）。连接件水平间距不应大于500mm，竖向间距不应大于800mm，边距不应小于30mm。每组墙面板水平方向的连接件不应少于2个。</w:t>
      </w:r>
    </w:p>
    <w:p>
      <w:pPr>
        <w:tabs>
          <w:tab w:val="left" w:pos="2220"/>
        </w:tabs>
        <w:snapToGrid w:val="0"/>
        <w:jc w:val="center"/>
        <w:rPr>
          <w:rFonts w:cs="Times New Roman"/>
        </w:rPr>
      </w:pPr>
      <w:r>
        <w:rPr>
          <w:rFonts w:hint="eastAsia"/>
        </w:rPr>
        <w:drawing>
          <wp:inline distT="0" distB="0" distL="114300" distR="114300">
            <wp:extent cx="3959860" cy="1703070"/>
            <wp:effectExtent l="0" t="0" r="2540" b="11430"/>
            <wp:docPr id="1" name="图片 1" descr="QQ截图2024013013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40130135657"/>
                    <pic:cNvPicPr>
                      <a:picLocks noChangeAspect="1"/>
                    </pic:cNvPicPr>
                  </pic:nvPicPr>
                  <pic:blipFill>
                    <a:blip r:embed="rId16"/>
                    <a:stretch>
                      <a:fillRect/>
                    </a:stretch>
                  </pic:blipFill>
                  <pic:spPr>
                    <a:xfrm>
                      <a:off x="0" y="0"/>
                      <a:ext cx="3959860" cy="1703070"/>
                    </a:xfrm>
                    <a:prstGeom prst="rect">
                      <a:avLst/>
                    </a:prstGeom>
                  </pic:spPr>
                </pic:pic>
              </a:graphicData>
            </a:graphic>
          </wp:inline>
        </w:drawing>
      </w:r>
    </w:p>
    <w:p>
      <w:pPr>
        <w:snapToGrid w:val="0"/>
        <w:jc w:val="center"/>
        <w:rPr>
          <w:rFonts w:cs="Times New Roman"/>
          <w:b/>
          <w:bCs/>
          <w:sz w:val="21"/>
          <w:szCs w:val="21"/>
        </w:rPr>
      </w:pPr>
      <w:r>
        <w:rPr>
          <w:rFonts w:cs="Times New Roman"/>
          <w:b/>
          <w:bCs/>
          <w:sz w:val="21"/>
          <w:szCs w:val="21"/>
        </w:rPr>
        <w:t>图</w:t>
      </w:r>
      <w:r>
        <w:rPr>
          <w:rFonts w:hint="eastAsia" w:cs="Times New Roman"/>
          <w:b/>
          <w:bCs/>
          <w:sz w:val="21"/>
          <w:szCs w:val="21"/>
        </w:rPr>
        <w:t>4.4.4</w:t>
      </w:r>
      <w:r>
        <w:rPr>
          <w:rFonts w:cs="Times New Roman"/>
          <w:b/>
          <w:bCs/>
          <w:sz w:val="21"/>
          <w:szCs w:val="21"/>
        </w:rPr>
        <w:t xml:space="preserve">  墙面板之间连接构造</w:t>
      </w:r>
    </w:p>
    <w:p>
      <w:pPr>
        <w:snapToGrid w:val="0"/>
        <w:jc w:val="center"/>
        <w:rPr>
          <w:rFonts w:cs="Times New Roman"/>
          <w:sz w:val="18"/>
          <w:szCs w:val="18"/>
        </w:rPr>
      </w:pPr>
      <w:r>
        <w:rPr>
          <w:rFonts w:cs="Times New Roman"/>
          <w:sz w:val="18"/>
          <w:szCs w:val="18"/>
        </w:rPr>
        <w:t>1-墙面板；2-连接件；3-自攻螺钉</w:t>
      </w:r>
    </w:p>
    <w:p>
      <w:pPr>
        <w:snapToGrid w:val="0"/>
        <w:rPr>
          <w:rFonts w:cs="Times New Roman"/>
          <w:b/>
          <w:bCs/>
        </w:rPr>
      </w:pPr>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.5</w:t>
      </w:r>
      <w:r>
        <w:rPr>
          <w:rFonts w:cs="Times New Roman"/>
        </w:rPr>
        <w:t>  墙面板与主体结构的连接构造应符合下列规定：</w:t>
      </w:r>
    </w:p>
    <w:p>
      <w:pPr>
        <w:snapToGrid w:val="0"/>
        <w:ind w:firstLine="482" w:firstLineChars="200"/>
        <w:rPr>
          <w:rFonts w:cs="Times New Roman"/>
        </w:rPr>
      </w:pPr>
      <w:r>
        <w:rPr>
          <w:rFonts w:cs="Times New Roman"/>
          <w:b/>
          <w:bCs/>
        </w:rPr>
        <w:t xml:space="preserve">1  </w:t>
      </w:r>
      <w:r>
        <w:rPr>
          <w:rFonts w:cs="Times New Roman"/>
          <w:bCs/>
        </w:rPr>
        <w:t>每片</w:t>
      </w:r>
      <w:r>
        <w:rPr>
          <w:rFonts w:cs="Times New Roman"/>
        </w:rPr>
        <w:t>外墙底部的连接件不应少于2个，与主体结构使用螺栓和射钉连接（图4.</w:t>
      </w:r>
      <w:r>
        <w:rPr>
          <w:rFonts w:hint="eastAsia" w:cs="Times New Roman"/>
        </w:rPr>
        <w:t>4</w:t>
      </w:r>
      <w:r>
        <w:rPr>
          <w:rFonts w:cs="Times New Roman"/>
        </w:rPr>
        <w:t>.5-1）</w:t>
      </w:r>
      <w:r>
        <w:rPr>
          <w:rFonts w:hint="eastAsia" w:cs="Times New Roman"/>
        </w:rPr>
        <w:t>。</w:t>
      </w:r>
    </w:p>
    <w:p>
      <w:pPr>
        <w:tabs>
          <w:tab w:val="left" w:pos="2220"/>
        </w:tabs>
        <w:snapToGrid w:val="0"/>
        <w:jc w:val="center"/>
        <w:rPr>
          <w:rFonts w:cs="Times New Roman"/>
        </w:rPr>
      </w:pPr>
      <w:r>
        <w:rPr>
          <w:rFonts w:hint="eastAsia"/>
        </w:rPr>
        <w:drawing>
          <wp:inline distT="0" distB="0" distL="114300" distR="114300">
            <wp:extent cx="3441700" cy="1433195"/>
            <wp:effectExtent l="0" t="0" r="6350" b="14605"/>
            <wp:docPr id="2" name="图片 2" descr="F:/2023/标准/征求意见稿0108/QQ截图20240229133508.jpgQQ截图2024022913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23/标准/征求意见稿0108/QQ截图20240229133508.jpgQQ截图20240229133508"/>
                    <pic:cNvPicPr>
                      <a:picLocks noChangeAspect="1"/>
                    </pic:cNvPicPr>
                  </pic:nvPicPr>
                  <pic:blipFill>
                    <a:blip r:embed="rId17"/>
                    <a:srcRect t="443" b="443"/>
                    <a:stretch>
                      <a:fillRect/>
                    </a:stretch>
                  </pic:blipFill>
                  <pic:spPr>
                    <a:xfrm>
                      <a:off x="0" y="0"/>
                      <a:ext cx="3441700" cy="1432387"/>
                    </a:xfrm>
                    <a:prstGeom prst="rect">
                      <a:avLst/>
                    </a:prstGeom>
                  </pic:spPr>
                </pic:pic>
              </a:graphicData>
            </a:graphic>
          </wp:inline>
        </w:drawing>
      </w:r>
    </w:p>
    <w:p>
      <w:pPr>
        <w:snapToGrid w:val="0"/>
        <w:jc w:val="center"/>
        <w:rPr>
          <w:rFonts w:cs="Times New Roman"/>
          <w:b/>
          <w:bCs/>
          <w:sz w:val="21"/>
          <w:szCs w:val="21"/>
        </w:rPr>
      </w:pPr>
      <w:r>
        <w:rPr>
          <w:rFonts w:cs="Times New Roman"/>
          <w:b/>
          <w:bCs/>
          <w:sz w:val="21"/>
          <w:szCs w:val="21"/>
        </w:rPr>
        <w:t>图4.</w:t>
      </w:r>
      <w:r>
        <w:rPr>
          <w:rFonts w:hint="eastAsia" w:cs="Times New Roman"/>
          <w:b/>
          <w:bCs/>
          <w:sz w:val="21"/>
          <w:szCs w:val="21"/>
        </w:rPr>
        <w:t>4</w:t>
      </w:r>
      <w:r>
        <w:rPr>
          <w:rFonts w:cs="Times New Roman"/>
          <w:b/>
          <w:bCs/>
          <w:sz w:val="21"/>
          <w:szCs w:val="21"/>
        </w:rPr>
        <w:t>.5-1  外围护墙底部与主体连接构造</w:t>
      </w:r>
    </w:p>
    <w:p>
      <w:pPr>
        <w:snapToGrid w:val="0"/>
        <w:jc w:val="center"/>
        <w:rPr>
          <w:rFonts w:cs="Times New Roman"/>
          <w:sz w:val="18"/>
          <w:szCs w:val="18"/>
        </w:rPr>
      </w:pPr>
      <w:r>
        <w:rPr>
          <w:rFonts w:cs="Times New Roman"/>
          <w:sz w:val="18"/>
          <w:szCs w:val="18"/>
        </w:rPr>
        <w:t>1-墙面板；2-连接件；3-自攻螺钉；4-射钉；5-</w:t>
      </w:r>
      <w:r>
        <w:rPr>
          <w:rFonts w:hint="eastAsia" w:cs="Times New Roman"/>
          <w:sz w:val="18"/>
          <w:szCs w:val="18"/>
        </w:rPr>
        <w:t>螺栓</w:t>
      </w:r>
      <w:r>
        <w:rPr>
          <w:rFonts w:cs="Times New Roman"/>
          <w:sz w:val="18"/>
          <w:szCs w:val="18"/>
        </w:rPr>
        <w:t>；6-钢筋混凝土梁板</w:t>
      </w:r>
    </w:p>
    <w:p>
      <w:pPr>
        <w:snapToGrid w:val="0"/>
        <w:ind w:firstLine="482" w:firstLineChars="200"/>
        <w:rPr>
          <w:rFonts w:cs="Times New Roman"/>
        </w:rPr>
      </w:pPr>
      <w:r>
        <w:rPr>
          <w:rFonts w:cs="Times New Roman"/>
          <w:b/>
          <w:bCs/>
        </w:rPr>
        <w:t xml:space="preserve">2  </w:t>
      </w:r>
      <w:r>
        <w:rPr>
          <w:rFonts w:cs="Times New Roman"/>
          <w:bCs/>
        </w:rPr>
        <w:t>每片</w:t>
      </w:r>
      <w:r>
        <w:rPr>
          <w:rFonts w:cs="Times New Roman"/>
        </w:rPr>
        <w:t>内墙底部的连接件不应少于2个，与主体结构使用射钉连接（图4.</w:t>
      </w:r>
      <w:r>
        <w:rPr>
          <w:rFonts w:hint="eastAsia" w:cs="Times New Roman"/>
        </w:rPr>
        <w:t>4</w:t>
      </w:r>
      <w:r>
        <w:rPr>
          <w:rFonts w:cs="Times New Roman"/>
        </w:rPr>
        <w:t>.5-2）</w:t>
      </w:r>
      <w:r>
        <w:rPr>
          <w:rFonts w:hint="eastAsia" w:cs="Times New Roman"/>
        </w:rPr>
        <w:t>。</w:t>
      </w:r>
    </w:p>
    <w:p>
      <w:pPr>
        <w:tabs>
          <w:tab w:val="left" w:pos="2220"/>
        </w:tabs>
        <w:snapToGrid w:val="0"/>
        <w:jc w:val="center"/>
        <w:rPr>
          <w:rFonts w:cs="Times New Roman"/>
        </w:rPr>
      </w:pPr>
      <w:r>
        <w:rPr>
          <w:rFonts w:hint="eastAsia"/>
        </w:rPr>
        <w:drawing>
          <wp:inline distT="0" distB="0" distL="114300" distR="114300">
            <wp:extent cx="3263900" cy="1368425"/>
            <wp:effectExtent l="0" t="0" r="12700" b="3175"/>
            <wp:docPr id="3" name="图片 3" descr="F:/2023/标准/征求意见稿0108/QQ截图20240229133521.jpgQQ截图2024022913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023/标准/征求意见稿0108/QQ截图20240229133521.jpgQQ截图20240229133521"/>
                    <pic:cNvPicPr>
                      <a:picLocks noChangeAspect="1"/>
                    </pic:cNvPicPr>
                  </pic:nvPicPr>
                  <pic:blipFill>
                    <a:blip r:embed="rId18"/>
                    <a:srcRect l="348" r="348"/>
                    <a:stretch>
                      <a:fillRect/>
                    </a:stretch>
                  </pic:blipFill>
                  <pic:spPr>
                    <a:xfrm>
                      <a:off x="0" y="0"/>
                      <a:ext cx="3270153" cy="1368425"/>
                    </a:xfrm>
                    <a:prstGeom prst="rect">
                      <a:avLst/>
                    </a:prstGeom>
                  </pic:spPr>
                </pic:pic>
              </a:graphicData>
            </a:graphic>
          </wp:inline>
        </w:drawing>
      </w:r>
    </w:p>
    <w:p>
      <w:pPr>
        <w:snapToGrid w:val="0"/>
        <w:jc w:val="center"/>
        <w:rPr>
          <w:rFonts w:cs="Times New Roman"/>
          <w:b/>
          <w:bCs/>
          <w:sz w:val="21"/>
          <w:szCs w:val="21"/>
        </w:rPr>
      </w:pPr>
      <w:r>
        <w:rPr>
          <w:rFonts w:cs="Times New Roman"/>
          <w:b/>
          <w:bCs/>
          <w:sz w:val="21"/>
          <w:szCs w:val="21"/>
        </w:rPr>
        <w:t>图4.</w:t>
      </w:r>
      <w:r>
        <w:rPr>
          <w:rFonts w:hint="eastAsia" w:cs="Times New Roman"/>
          <w:b/>
          <w:bCs/>
          <w:sz w:val="21"/>
          <w:szCs w:val="21"/>
        </w:rPr>
        <w:t>4</w:t>
      </w:r>
      <w:r>
        <w:rPr>
          <w:rFonts w:cs="Times New Roman"/>
          <w:b/>
          <w:bCs/>
          <w:sz w:val="21"/>
          <w:szCs w:val="21"/>
        </w:rPr>
        <w:t>.5-2  内隔墙底部与主体连接构造</w:t>
      </w:r>
    </w:p>
    <w:p>
      <w:pPr>
        <w:snapToGrid w:val="0"/>
        <w:jc w:val="center"/>
        <w:rPr>
          <w:rFonts w:cs="Times New Roman"/>
          <w:b/>
          <w:bCs/>
          <w:sz w:val="18"/>
          <w:szCs w:val="18"/>
        </w:rPr>
      </w:pPr>
      <w:r>
        <w:rPr>
          <w:rFonts w:cs="Times New Roman"/>
          <w:sz w:val="18"/>
          <w:szCs w:val="18"/>
        </w:rPr>
        <w:t>1-墙面板；2-连接件；3-自攻螺钉；4-射钉；5-钢筋混凝土梁板</w:t>
      </w:r>
    </w:p>
    <w:p>
      <w:pPr>
        <w:snapToGrid w:val="0"/>
        <w:ind w:firstLine="482" w:firstLineChars="200"/>
        <w:rPr>
          <w:rFonts w:cs="Times New Roman"/>
        </w:rPr>
      </w:pPr>
      <w:r>
        <w:rPr>
          <w:rFonts w:cs="Times New Roman"/>
          <w:b/>
          <w:bCs/>
        </w:rPr>
        <w:t xml:space="preserve">3  </w:t>
      </w:r>
      <w:r>
        <w:rPr>
          <w:rFonts w:cs="Times New Roman"/>
        </w:rPr>
        <w:t>墙体两侧、顶部的连接件与钢筋混凝土结构可使用射钉连接（图4.</w:t>
      </w:r>
      <w:r>
        <w:rPr>
          <w:rFonts w:hint="eastAsia" w:cs="Times New Roman"/>
        </w:rPr>
        <w:t>4</w:t>
      </w:r>
      <w:r>
        <w:rPr>
          <w:rFonts w:cs="Times New Roman"/>
        </w:rPr>
        <w:t>.5-3），每个连接件不应少于2个</w:t>
      </w:r>
      <w:r>
        <w:rPr>
          <w:rFonts w:hint="eastAsia" w:cs="Times New Roman"/>
        </w:rPr>
        <w:t>。</w:t>
      </w:r>
    </w:p>
    <w:p>
      <w:pPr>
        <w:tabs>
          <w:tab w:val="left" w:pos="2220"/>
        </w:tabs>
        <w:snapToGrid w:val="0"/>
        <w:jc w:val="center"/>
        <w:rPr>
          <w:rFonts w:cs="Times New Roman"/>
        </w:rPr>
      </w:pPr>
      <w:r>
        <w:rPr>
          <w:rFonts w:hint="eastAsia"/>
        </w:rPr>
        <w:drawing>
          <wp:inline distT="0" distB="0" distL="114300" distR="114300">
            <wp:extent cx="3270250" cy="1382395"/>
            <wp:effectExtent l="0" t="0" r="6350" b="8255"/>
            <wp:docPr id="36" name="图片 36" descr="F:/2023/标准/征求意见稿0108/1.31/QQ截图20240201105421.jpgQQ截图2024020110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2023/标准/征求意见稿0108/1.31/QQ截图20240201105421.jpgQQ截图20240201105421"/>
                    <pic:cNvPicPr>
                      <a:picLocks noChangeAspect="1"/>
                    </pic:cNvPicPr>
                  </pic:nvPicPr>
                  <pic:blipFill>
                    <a:blip r:embed="rId19"/>
                    <a:srcRect l="1031" t="-45" b="5382"/>
                    <a:stretch>
                      <a:fillRect/>
                    </a:stretch>
                  </pic:blipFill>
                  <pic:spPr>
                    <a:xfrm>
                      <a:off x="0" y="0"/>
                      <a:ext cx="3276127" cy="1384997"/>
                    </a:xfrm>
                    <a:prstGeom prst="rect">
                      <a:avLst/>
                    </a:prstGeom>
                  </pic:spPr>
                </pic:pic>
              </a:graphicData>
            </a:graphic>
          </wp:inline>
        </w:drawing>
      </w:r>
      <w:r>
        <w:rPr>
          <w:rFonts w:cs="Times New Roman"/>
        </w:rPr>
        <w:t xml:space="preserve">     </w:t>
      </w:r>
    </w:p>
    <w:p>
      <w:pPr>
        <w:snapToGrid w:val="0"/>
        <w:jc w:val="center"/>
        <w:rPr>
          <w:rFonts w:cs="Times New Roman"/>
          <w:b/>
          <w:bCs/>
          <w:sz w:val="21"/>
          <w:szCs w:val="21"/>
        </w:rPr>
      </w:pPr>
      <w:r>
        <w:rPr>
          <w:rFonts w:cs="Times New Roman"/>
          <w:b/>
          <w:bCs/>
          <w:sz w:val="21"/>
          <w:szCs w:val="21"/>
        </w:rPr>
        <w:t>图4.</w:t>
      </w:r>
      <w:r>
        <w:rPr>
          <w:rFonts w:hint="eastAsia" w:cs="Times New Roman"/>
          <w:b/>
          <w:bCs/>
          <w:sz w:val="21"/>
          <w:szCs w:val="21"/>
        </w:rPr>
        <w:t>4</w:t>
      </w:r>
      <w:r>
        <w:rPr>
          <w:rFonts w:cs="Times New Roman"/>
          <w:b/>
          <w:bCs/>
          <w:sz w:val="21"/>
          <w:szCs w:val="21"/>
        </w:rPr>
        <w:t>.5-3  墙体两侧、顶部与钢筋混凝土结构连接构造</w:t>
      </w:r>
    </w:p>
    <w:p>
      <w:pPr>
        <w:snapToGrid w:val="0"/>
        <w:jc w:val="center"/>
        <w:rPr>
          <w:rFonts w:cs="Times New Roman"/>
          <w:sz w:val="18"/>
          <w:szCs w:val="18"/>
        </w:rPr>
      </w:pPr>
      <w:r>
        <w:rPr>
          <w:rFonts w:cs="Times New Roman"/>
          <w:sz w:val="18"/>
          <w:szCs w:val="18"/>
        </w:rPr>
        <w:t>1-墙面板；2-连接件；3-自攻螺钉；4--射钉；5-钢筋混凝土梁板、墙柱</w:t>
      </w:r>
    </w:p>
    <w:p>
      <w:pPr>
        <w:snapToGrid w:val="0"/>
        <w:ind w:firstLine="482" w:firstLineChars="200"/>
        <w:rPr>
          <w:rFonts w:cs="Times New Roman"/>
        </w:rPr>
      </w:pPr>
      <w:r>
        <w:rPr>
          <w:rFonts w:cs="Times New Roman"/>
          <w:b/>
          <w:bCs/>
        </w:rPr>
        <w:t xml:space="preserve">4  </w:t>
      </w:r>
      <w:r>
        <w:rPr>
          <w:rFonts w:cs="Times New Roman"/>
        </w:rPr>
        <w:t>墙体两侧、顶部的连接件与</w:t>
      </w:r>
      <w:r>
        <w:rPr>
          <w:rFonts w:hint="eastAsia" w:cs="Times New Roman"/>
        </w:rPr>
        <w:t>钢</w:t>
      </w:r>
      <w:r>
        <w:rPr>
          <w:rFonts w:cs="Times New Roman"/>
        </w:rPr>
        <w:t>结构宜采用焊接连接（图4.</w:t>
      </w:r>
      <w:r>
        <w:rPr>
          <w:rFonts w:hint="eastAsia" w:cs="Times New Roman"/>
        </w:rPr>
        <w:t>4</w:t>
      </w:r>
      <w:r>
        <w:rPr>
          <w:rFonts w:cs="Times New Roman"/>
        </w:rPr>
        <w:t>.5-3、图4.</w:t>
      </w:r>
      <w:r>
        <w:rPr>
          <w:rFonts w:hint="eastAsia" w:cs="Times New Roman"/>
        </w:rPr>
        <w:t>4</w:t>
      </w:r>
      <w:r>
        <w:rPr>
          <w:rFonts w:cs="Times New Roman"/>
        </w:rPr>
        <w:t>.5-</w:t>
      </w:r>
      <w:r>
        <w:rPr>
          <w:rFonts w:hint="eastAsia" w:cs="Times New Roman"/>
        </w:rPr>
        <w:t>4</w:t>
      </w:r>
      <w:r>
        <w:rPr>
          <w:rFonts w:cs="Times New Roman"/>
        </w:rPr>
        <w:t>），墙体顶部和墙体两侧的连接件均不应少于2个。</w:t>
      </w:r>
    </w:p>
    <w:p>
      <w:pPr>
        <w:tabs>
          <w:tab w:val="left" w:pos="2220"/>
        </w:tabs>
        <w:snapToGrid w:val="0"/>
        <w:jc w:val="center"/>
        <w:rPr>
          <w:rFonts w:cs="Times New Roman"/>
        </w:rPr>
      </w:pPr>
      <w:r>
        <w:rPr>
          <w:rFonts w:hint="eastAsia"/>
        </w:rPr>
        <w:drawing>
          <wp:inline distT="0" distB="0" distL="114300" distR="114300">
            <wp:extent cx="1915160" cy="1619885"/>
            <wp:effectExtent l="0" t="0" r="18415" b="8890"/>
            <wp:docPr id="37" name="图片 37" descr="F:/2023/标准/征求意见稿0108/1.31/QQ截图20240201105722.jpgQQ截图2024020110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2023/标准/征求意见稿0108/1.31/QQ截图20240201105722.jpgQQ截图20240201105722"/>
                    <pic:cNvPicPr>
                      <a:picLocks noChangeAspect="1"/>
                    </pic:cNvPicPr>
                  </pic:nvPicPr>
                  <pic:blipFill>
                    <a:blip r:embed="rId20"/>
                    <a:srcRect l="2241" t="47941" r="51019"/>
                    <a:stretch>
                      <a:fillRect/>
                    </a:stretch>
                  </pic:blipFill>
                  <pic:spPr>
                    <a:xfrm rot="5400000">
                      <a:off x="0" y="0"/>
                      <a:ext cx="1915160" cy="1619885"/>
                    </a:xfrm>
                    <a:prstGeom prst="rect">
                      <a:avLst/>
                    </a:prstGeom>
                    <a:ln>
                      <a:noFill/>
                    </a:ln>
                  </pic:spPr>
                </pic:pic>
              </a:graphicData>
            </a:graphic>
          </wp:inline>
        </w:drawing>
      </w:r>
      <w:r>
        <w:rPr>
          <w:rFonts w:hint="eastAsia"/>
        </w:rPr>
        <w:t xml:space="preserve">              </w:t>
      </w:r>
      <w:r>
        <w:rPr>
          <w:rFonts w:hint="eastAsia"/>
        </w:rPr>
        <w:drawing>
          <wp:inline distT="0" distB="0" distL="114300" distR="114300">
            <wp:extent cx="1932940" cy="1511935"/>
            <wp:effectExtent l="0" t="0" r="12065" b="10160"/>
            <wp:docPr id="46" name="图片 46" descr="F:/2023/标准/征求意见稿0108/1.31/QQ截图20240201105722.jpgQQ截图2024020110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2023/标准/征求意见稿0108/1.31/QQ截图20240201105722.jpgQQ截图20240201105722"/>
                    <pic:cNvPicPr>
                      <a:picLocks noChangeAspect="1"/>
                    </pic:cNvPicPr>
                  </pic:nvPicPr>
                  <pic:blipFill>
                    <a:blip r:embed="rId20"/>
                    <a:srcRect l="2241" r="51019" b="51800"/>
                    <a:stretch>
                      <a:fillRect/>
                    </a:stretch>
                  </pic:blipFill>
                  <pic:spPr>
                    <a:xfrm rot="5400000">
                      <a:off x="0" y="0"/>
                      <a:ext cx="1932940" cy="1511935"/>
                    </a:xfrm>
                    <a:prstGeom prst="rect">
                      <a:avLst/>
                    </a:prstGeom>
                    <a:ln>
                      <a:noFill/>
                    </a:ln>
                  </pic:spPr>
                </pic:pic>
              </a:graphicData>
            </a:graphic>
          </wp:inline>
        </w:drawing>
      </w:r>
    </w:p>
    <w:p>
      <w:pPr>
        <w:tabs>
          <w:tab w:val="left" w:pos="2220"/>
        </w:tabs>
        <w:snapToGrid w:val="0"/>
        <w:jc w:val="center"/>
        <w:rPr>
          <w:rFonts w:cs="Times New Roman"/>
          <w:sz w:val="22"/>
        </w:rPr>
      </w:pPr>
      <w:r>
        <w:rPr>
          <w:rFonts w:hint="eastAsia" w:cs="Times New Roman"/>
          <w:b/>
          <w:bCs/>
          <w:sz w:val="21"/>
          <w:szCs w:val="21"/>
        </w:rPr>
        <w:t>（a）墙厚大于梁宽时内墙处连接构造   （b）墙厚大于梁宽时外墙处连接构造</w:t>
      </w:r>
      <w:r>
        <w:rPr>
          <w:rFonts w:hint="eastAsia" w:cs="Times New Roman"/>
          <w:sz w:val="22"/>
        </w:rPr>
        <w:t xml:space="preserve">  </w:t>
      </w:r>
    </w:p>
    <w:p>
      <w:pPr>
        <w:tabs>
          <w:tab w:val="left" w:pos="2220"/>
        </w:tabs>
        <w:snapToGrid w:val="0"/>
        <w:jc w:val="center"/>
        <w:rPr>
          <w:rFonts w:cs="Times New Roman"/>
          <w:sz w:val="22"/>
        </w:rPr>
      </w:pPr>
    </w:p>
    <w:p>
      <w:pPr>
        <w:tabs>
          <w:tab w:val="left" w:pos="2220"/>
        </w:tabs>
        <w:snapToGrid w:val="0"/>
        <w:jc w:val="center"/>
        <w:rPr>
          <w:rFonts w:cs="Times New Roman"/>
        </w:rPr>
      </w:pPr>
      <w:r>
        <w:rPr>
          <w:rFonts w:hint="eastAsia"/>
        </w:rPr>
        <w:drawing>
          <wp:inline distT="0" distB="0" distL="114300" distR="114300">
            <wp:extent cx="1880870" cy="1619885"/>
            <wp:effectExtent l="0" t="0" r="18415" b="5080"/>
            <wp:docPr id="6" name="图片 6" descr="F:/2023/标准/征求意见稿0108/1.31/QQ截图20240201105722.jpgQQ截图2024020110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023/标准/征求意见稿0108/1.31/QQ截图20240201105722.jpgQQ截图20240201105722"/>
                    <pic:cNvPicPr>
                      <a:picLocks noChangeAspect="1"/>
                    </pic:cNvPicPr>
                  </pic:nvPicPr>
                  <pic:blipFill>
                    <a:blip r:embed="rId20"/>
                    <a:srcRect l="54260" t="47745" r="-319"/>
                    <a:stretch>
                      <a:fillRect/>
                    </a:stretch>
                  </pic:blipFill>
                  <pic:spPr>
                    <a:xfrm rot="5400000">
                      <a:off x="0" y="0"/>
                      <a:ext cx="1880870" cy="1619885"/>
                    </a:xfrm>
                    <a:prstGeom prst="rect">
                      <a:avLst/>
                    </a:prstGeom>
                    <a:ln>
                      <a:noFill/>
                    </a:ln>
                  </pic:spPr>
                </pic:pic>
              </a:graphicData>
            </a:graphic>
          </wp:inline>
        </w:drawing>
      </w:r>
      <w:r>
        <w:rPr>
          <w:rFonts w:hint="eastAsia"/>
        </w:rPr>
        <w:t xml:space="preserve">              </w:t>
      </w:r>
      <w:r>
        <w:rPr>
          <w:rFonts w:hint="eastAsia"/>
        </w:rPr>
        <w:drawing>
          <wp:inline distT="0" distB="0" distL="114300" distR="114300">
            <wp:extent cx="1905635" cy="1475740"/>
            <wp:effectExtent l="0" t="0" r="10160" b="18415"/>
            <wp:docPr id="42" name="图片 42" descr="F:/2023/标准/征求意见稿0108/1.31/QQ截图20240201105722.jpgQQ截图2024020110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2023/标准/征求意见稿0108/1.31/QQ截图20240201105722.jpgQQ截图20240201105722"/>
                    <pic:cNvPicPr>
                      <a:picLocks noChangeAspect="1"/>
                    </pic:cNvPicPr>
                  </pic:nvPicPr>
                  <pic:blipFill>
                    <a:blip r:embed="rId20"/>
                    <a:srcRect l="54899" r="-319" b="53634"/>
                    <a:stretch>
                      <a:fillRect/>
                    </a:stretch>
                  </pic:blipFill>
                  <pic:spPr>
                    <a:xfrm rot="5400000">
                      <a:off x="0" y="0"/>
                      <a:ext cx="1905635" cy="1475740"/>
                    </a:xfrm>
                    <a:prstGeom prst="rect">
                      <a:avLst/>
                    </a:prstGeom>
                    <a:ln>
                      <a:noFill/>
                    </a:ln>
                  </pic:spPr>
                </pic:pic>
              </a:graphicData>
            </a:graphic>
          </wp:inline>
        </w:drawing>
      </w:r>
    </w:p>
    <w:p>
      <w:pPr>
        <w:tabs>
          <w:tab w:val="left" w:pos="2220"/>
        </w:tabs>
        <w:snapToGrid w:val="0"/>
        <w:jc w:val="center"/>
        <w:rPr>
          <w:rFonts w:cs="Times New Roman"/>
          <w:b/>
          <w:bCs/>
          <w:sz w:val="21"/>
          <w:szCs w:val="21"/>
        </w:rPr>
      </w:pPr>
      <w:r>
        <w:rPr>
          <w:rFonts w:hint="eastAsia" w:cs="Times New Roman"/>
          <w:b/>
          <w:bCs/>
          <w:sz w:val="21"/>
          <w:szCs w:val="21"/>
        </w:rPr>
        <w:t>（c）墙厚大于梁宽时内墙处连接构造   （d）墙厚大于梁宽时外墙处连接构造</w:t>
      </w:r>
    </w:p>
    <w:p>
      <w:pPr>
        <w:snapToGrid w:val="0"/>
        <w:jc w:val="center"/>
        <w:rPr>
          <w:rStyle w:val="20"/>
          <w:b/>
          <w:bCs/>
        </w:rPr>
      </w:pPr>
      <w:r>
        <w:rPr>
          <w:rFonts w:cs="Times New Roman"/>
          <w:b/>
          <w:bCs/>
          <w:sz w:val="21"/>
          <w:szCs w:val="21"/>
        </w:rPr>
        <w:t>图4.</w:t>
      </w:r>
      <w:r>
        <w:rPr>
          <w:rFonts w:hint="eastAsia" w:cs="Times New Roman"/>
          <w:b/>
          <w:bCs/>
          <w:sz w:val="21"/>
          <w:szCs w:val="21"/>
        </w:rPr>
        <w:t>4</w:t>
      </w:r>
      <w:r>
        <w:rPr>
          <w:rFonts w:cs="Times New Roman"/>
          <w:b/>
          <w:bCs/>
          <w:sz w:val="21"/>
          <w:szCs w:val="21"/>
        </w:rPr>
        <w:t>.5-4  墙体顶部与钢结构连接构造</w:t>
      </w:r>
    </w:p>
    <w:p>
      <w:pPr>
        <w:snapToGrid w:val="0"/>
        <w:jc w:val="center"/>
      </w:pPr>
      <w:r>
        <w:rPr>
          <w:rFonts w:hint="eastAsia"/>
          <w:sz w:val="18"/>
          <w:szCs w:val="18"/>
        </w:rPr>
        <w:t>1-墙面板；2-连接件；3-自攻螺钉；4-钢梁；5-楼板</w:t>
      </w:r>
    </w:p>
    <w:p>
      <w:pPr>
        <w:tabs>
          <w:tab w:val="left" w:pos="2220"/>
        </w:tabs>
        <w:snapToGrid w:val="0"/>
        <w:jc w:val="center"/>
        <w:rPr>
          <w:rFonts w:cs="Times New Roman"/>
        </w:rPr>
      </w:pPr>
      <w:r>
        <w:rPr>
          <w:rFonts w:cs="Times New Roman"/>
        </w:rPr>
        <w:drawing>
          <wp:inline distT="0" distB="0" distL="114300" distR="114300">
            <wp:extent cx="3477260" cy="1677670"/>
            <wp:effectExtent l="0" t="0" r="8890" b="17780"/>
            <wp:docPr id="40" name="图片 40" descr="F:/2023/标准/图片/QQ截图20231017155156.jpgQQ截图2023101715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2023/标准/图片/QQ截图20231017155156.jpgQQ截图20231017155156"/>
                    <pic:cNvPicPr>
                      <a:picLocks noChangeAspect="1"/>
                    </pic:cNvPicPr>
                  </pic:nvPicPr>
                  <pic:blipFill>
                    <a:blip r:embed="rId21"/>
                    <a:srcRect t="832" b="1944"/>
                    <a:stretch>
                      <a:fillRect/>
                    </a:stretch>
                  </pic:blipFill>
                  <pic:spPr>
                    <a:xfrm>
                      <a:off x="0" y="0"/>
                      <a:ext cx="3476429" cy="1676980"/>
                    </a:xfrm>
                    <a:prstGeom prst="rect">
                      <a:avLst/>
                    </a:prstGeom>
                  </pic:spPr>
                </pic:pic>
              </a:graphicData>
            </a:graphic>
          </wp:inline>
        </w:drawing>
      </w:r>
    </w:p>
    <w:p>
      <w:pPr>
        <w:snapToGrid w:val="0"/>
        <w:jc w:val="center"/>
        <w:rPr>
          <w:rFonts w:cs="Times New Roman"/>
          <w:b/>
          <w:bCs/>
          <w:sz w:val="21"/>
          <w:szCs w:val="21"/>
        </w:rPr>
      </w:pPr>
      <w:r>
        <w:rPr>
          <w:rFonts w:cs="Times New Roman"/>
          <w:b/>
          <w:bCs/>
          <w:sz w:val="21"/>
          <w:szCs w:val="21"/>
        </w:rPr>
        <w:t>图4.</w:t>
      </w:r>
      <w:r>
        <w:rPr>
          <w:rFonts w:hint="eastAsia" w:cs="Times New Roman"/>
          <w:b/>
          <w:bCs/>
          <w:sz w:val="21"/>
          <w:szCs w:val="21"/>
        </w:rPr>
        <w:t>4</w:t>
      </w:r>
      <w:r>
        <w:rPr>
          <w:rFonts w:cs="Times New Roman"/>
          <w:b/>
          <w:bCs/>
          <w:sz w:val="21"/>
          <w:szCs w:val="21"/>
        </w:rPr>
        <w:t>.5-5  墙体两侧与钢结构连接构造</w:t>
      </w:r>
    </w:p>
    <w:p>
      <w:pPr>
        <w:snapToGrid w:val="0"/>
        <w:jc w:val="center"/>
        <w:rPr>
          <w:sz w:val="18"/>
          <w:szCs w:val="18"/>
        </w:rPr>
      </w:pPr>
      <w:r>
        <w:rPr>
          <w:rFonts w:hint="eastAsia"/>
          <w:sz w:val="18"/>
          <w:szCs w:val="18"/>
        </w:rPr>
        <w:t>1-墙面板；2-连接件；3-自攻螺钉；4-钢柱</w:t>
      </w:r>
    </w:p>
    <w:p>
      <w:pPr>
        <w:snapToGrid w:val="0"/>
        <w:rPr>
          <w:rFonts w:cs="Times New Roman"/>
          <w:b/>
          <w:bCs/>
        </w:rPr>
      </w:pPr>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.6</w:t>
      </w:r>
      <w:r>
        <w:rPr>
          <w:rFonts w:cs="Times New Roman"/>
        </w:rPr>
        <w:t>  洞口的构造应符合下列规定：</w:t>
      </w:r>
    </w:p>
    <w:p>
      <w:pPr>
        <w:snapToGrid w:val="0"/>
        <w:ind w:firstLine="480"/>
        <w:rPr>
          <w:rFonts w:cs="Times New Roman"/>
        </w:rPr>
      </w:pPr>
      <w:r>
        <w:rPr>
          <w:rFonts w:cs="Times New Roman"/>
          <w:b/>
          <w:bCs/>
        </w:rPr>
        <w:t xml:space="preserve">1  </w:t>
      </w:r>
      <w:r>
        <w:rPr>
          <w:rFonts w:hint="eastAsia" w:cs="宋体"/>
        </w:rPr>
        <w:t>墙体端部及洞口处应设置洞口板，长度与相邻墙面板相同。洞口与主体结构、相邻墙面板</w:t>
      </w:r>
      <w:r>
        <w:rPr>
          <w:rFonts w:hint="eastAsia" w:ascii="宋体" w:hAnsi="宋体" w:cs="宋体"/>
        </w:rPr>
        <w:t>使用连接件和自攻螺钉连接</w:t>
      </w:r>
      <w:r>
        <w:rPr>
          <w:rFonts w:cs="Times New Roman"/>
        </w:rPr>
        <w:t>（图4.</w:t>
      </w:r>
      <w:r>
        <w:rPr>
          <w:rFonts w:hint="eastAsia" w:cs="Times New Roman"/>
        </w:rPr>
        <w:t>4</w:t>
      </w:r>
      <w:r>
        <w:rPr>
          <w:rFonts w:cs="Times New Roman"/>
        </w:rPr>
        <w:t>.6-1）</w:t>
      </w:r>
      <w:r>
        <w:rPr>
          <w:rFonts w:hint="eastAsia" w:cs="Times New Roman"/>
        </w:rPr>
        <w:t>。</w:t>
      </w:r>
    </w:p>
    <w:p>
      <w:pPr>
        <w:tabs>
          <w:tab w:val="left" w:pos="2220"/>
        </w:tabs>
        <w:snapToGrid w:val="0"/>
        <w:jc w:val="center"/>
        <w:rPr>
          <w:rFonts w:cs="Times New Roman"/>
        </w:rPr>
      </w:pPr>
      <w:r>
        <w:rPr>
          <w:rFonts w:hint="eastAsia"/>
        </w:rPr>
        <w:drawing>
          <wp:inline distT="0" distB="0" distL="114300" distR="114300">
            <wp:extent cx="2647315" cy="3624580"/>
            <wp:effectExtent l="0" t="0" r="13970" b="635"/>
            <wp:docPr id="14" name="图片 14" descr="F:/2023/标准/征求意见稿0108/1.31/QQ截图20240201104338.jpgQQ截图2024020110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2023/标准/征求意见稿0108/1.31/QQ截图20240201104338.jpgQQ截图20240201104338"/>
                    <pic:cNvPicPr>
                      <a:picLocks noChangeAspect="1"/>
                    </pic:cNvPicPr>
                  </pic:nvPicPr>
                  <pic:blipFill>
                    <a:blip r:embed="rId22"/>
                    <a:srcRect l="29888" r="1667"/>
                    <a:stretch>
                      <a:fillRect/>
                    </a:stretch>
                  </pic:blipFill>
                  <pic:spPr>
                    <a:xfrm rot="5400000">
                      <a:off x="0" y="0"/>
                      <a:ext cx="2647315" cy="3624580"/>
                    </a:xfrm>
                    <a:prstGeom prst="rect">
                      <a:avLst/>
                    </a:prstGeom>
                    <a:ln>
                      <a:noFill/>
                    </a:ln>
                  </pic:spPr>
                </pic:pic>
              </a:graphicData>
            </a:graphic>
          </wp:inline>
        </w:drawing>
      </w:r>
    </w:p>
    <w:p>
      <w:pPr>
        <w:tabs>
          <w:tab w:val="left" w:pos="2220"/>
        </w:tabs>
        <w:snapToGrid w:val="0"/>
        <w:jc w:val="center"/>
        <w:rPr>
          <w:rFonts w:cs="Times New Roman"/>
          <w:sz w:val="22"/>
        </w:rPr>
      </w:pPr>
      <w:r>
        <w:rPr>
          <w:rFonts w:hint="eastAsia" w:cs="Times New Roman"/>
          <w:sz w:val="20"/>
          <w:szCs w:val="20"/>
        </w:rPr>
        <w:t>（</w:t>
      </w:r>
      <w:r>
        <w:rPr>
          <w:rFonts w:hint="eastAsia" w:cs="Times New Roman"/>
          <w:b/>
          <w:bCs/>
          <w:sz w:val="21"/>
          <w:szCs w:val="21"/>
        </w:rPr>
        <w:t>a）洞口板一般构造           （b）洞口板低能耗构造</w:t>
      </w:r>
    </w:p>
    <w:p>
      <w:pPr>
        <w:tabs>
          <w:tab w:val="left" w:pos="2220"/>
        </w:tabs>
        <w:snapToGrid w:val="0"/>
        <w:jc w:val="center"/>
        <w:rPr>
          <w:rFonts w:cs="Times New Roman"/>
        </w:rPr>
      </w:pPr>
      <w:r>
        <w:rPr>
          <w:rFonts w:hint="eastAsia"/>
        </w:rPr>
        <w:drawing>
          <wp:inline distT="0" distB="0" distL="114300" distR="114300">
            <wp:extent cx="1005840" cy="3421380"/>
            <wp:effectExtent l="0" t="0" r="7620" b="3810"/>
            <wp:docPr id="15" name="图片 15" descr="F:/2023/标准/征求意见稿0108/1.31/QQ截图20240201104338.jpgQQ截图2024020110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2023/标准/征求意见稿0108/1.31/QQ截图20240201104338.jpgQQ截图20240201104338"/>
                    <pic:cNvPicPr>
                      <a:picLocks noChangeAspect="1"/>
                    </pic:cNvPicPr>
                  </pic:nvPicPr>
                  <pic:blipFill>
                    <a:blip r:embed="rId22"/>
                    <a:srcRect l="529" t="3786" r="72965"/>
                    <a:stretch>
                      <a:fillRect/>
                    </a:stretch>
                  </pic:blipFill>
                  <pic:spPr>
                    <a:xfrm rot="5400000">
                      <a:off x="0" y="0"/>
                      <a:ext cx="1005840" cy="3421380"/>
                    </a:xfrm>
                    <a:prstGeom prst="rect">
                      <a:avLst/>
                    </a:prstGeom>
                    <a:ln>
                      <a:noFill/>
                    </a:ln>
                  </pic:spPr>
                </pic:pic>
              </a:graphicData>
            </a:graphic>
          </wp:inline>
        </w:drawing>
      </w:r>
    </w:p>
    <w:p>
      <w:pPr>
        <w:tabs>
          <w:tab w:val="left" w:pos="2220"/>
        </w:tabs>
        <w:snapToGrid w:val="0"/>
        <w:jc w:val="center"/>
        <w:rPr>
          <w:rFonts w:cs="Times New Roman"/>
          <w:b/>
          <w:bCs/>
          <w:sz w:val="21"/>
          <w:szCs w:val="21"/>
        </w:rPr>
      </w:pPr>
      <w:r>
        <w:rPr>
          <w:rFonts w:hint="eastAsia" w:cs="Times New Roman"/>
          <w:b/>
          <w:bCs/>
          <w:sz w:val="21"/>
          <w:szCs w:val="21"/>
        </w:rPr>
        <w:t>（</w:t>
      </w:r>
      <w:r>
        <w:rPr>
          <w:rFonts w:hint="eastAsia" w:cs="宋体"/>
          <w:b/>
          <w:bCs/>
          <w:sz w:val="21"/>
          <w:szCs w:val="21"/>
        </w:rPr>
        <w:t>c）A-A剖面                   （d）B-B剖面</w:t>
      </w:r>
    </w:p>
    <w:p>
      <w:pPr>
        <w:snapToGrid w:val="0"/>
        <w:jc w:val="center"/>
        <w:rPr>
          <w:rStyle w:val="20"/>
        </w:rPr>
      </w:pPr>
      <w:r>
        <w:rPr>
          <w:rFonts w:cs="Times New Roman"/>
          <w:sz w:val="20"/>
          <w:szCs w:val="20"/>
        </w:rPr>
        <w:t>图4.</w:t>
      </w:r>
      <w:r>
        <w:rPr>
          <w:rFonts w:hint="eastAsia" w:cs="Times New Roman"/>
          <w:sz w:val="20"/>
          <w:szCs w:val="20"/>
        </w:rPr>
        <w:t>4</w:t>
      </w:r>
      <w:r>
        <w:rPr>
          <w:rFonts w:cs="Times New Roman"/>
          <w:sz w:val="20"/>
          <w:szCs w:val="20"/>
        </w:rPr>
        <w:t>.6-1  墙体自由端及洞口处构造</w:t>
      </w:r>
    </w:p>
    <w:p>
      <w:pPr>
        <w:snapToGrid w:val="0"/>
        <w:jc w:val="center"/>
        <w:rPr>
          <w:sz w:val="18"/>
          <w:szCs w:val="18"/>
        </w:rPr>
      </w:pPr>
      <w:r>
        <w:rPr>
          <w:rFonts w:hint="eastAsia"/>
          <w:sz w:val="18"/>
          <w:szCs w:val="18"/>
        </w:rPr>
        <w:t>1-墙面板；2-洞口板；3-连接件；4-自攻螺钉；5-硬质保温条；6-螺栓</w:t>
      </w:r>
    </w:p>
    <w:p>
      <w:pPr>
        <w:snapToGrid w:val="0"/>
        <w:ind w:firstLine="480"/>
        <w:rPr>
          <w:rFonts w:cs="Times New Roman"/>
        </w:rPr>
      </w:pPr>
      <w:r>
        <w:rPr>
          <w:rFonts w:cs="Times New Roman"/>
          <w:b/>
          <w:bCs/>
        </w:rPr>
        <w:t>2</w:t>
      </w:r>
      <w:r>
        <w:rPr>
          <w:rFonts w:cs="Times New Roman"/>
        </w:rPr>
        <w:t xml:space="preserve">  洞口上、下侧应分别设置过梁板，预制过梁与洞口上、下侧的预制墙面板使用连接件和自攻螺钉连接（图4.</w:t>
      </w:r>
      <w:r>
        <w:rPr>
          <w:rFonts w:hint="eastAsia" w:cs="Times New Roman"/>
        </w:rPr>
        <w:t>4</w:t>
      </w:r>
      <w:r>
        <w:rPr>
          <w:rFonts w:cs="Times New Roman"/>
        </w:rPr>
        <w:t>.6-2）。</w:t>
      </w:r>
    </w:p>
    <w:p>
      <w:pPr>
        <w:tabs>
          <w:tab w:val="left" w:pos="2220"/>
        </w:tabs>
        <w:snapToGrid w:val="0"/>
        <w:jc w:val="center"/>
        <w:rPr>
          <w:rFonts w:cs="Times New Roman"/>
        </w:rPr>
      </w:pPr>
      <w:r>
        <w:rPr>
          <w:rFonts w:hint="eastAsia"/>
        </w:rPr>
        <w:drawing>
          <wp:inline distT="0" distB="0" distL="114300" distR="114300">
            <wp:extent cx="3945255" cy="1224280"/>
            <wp:effectExtent l="0" t="0" r="13970" b="17145"/>
            <wp:docPr id="16" name="图片 16" descr="F:/2023/标准/征求意见稿0108/1.31/QQ截图20240131150244.jpgQQ截图2024013115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2023/标准/征求意见稿0108/1.31/QQ截图20240131150244.jpgQQ截图20240131150244"/>
                    <pic:cNvPicPr>
                      <a:picLocks noChangeAspect="1"/>
                    </pic:cNvPicPr>
                  </pic:nvPicPr>
                  <pic:blipFill>
                    <a:blip r:embed="rId23"/>
                    <a:srcRect l="2122" t="57549" r="525"/>
                    <a:stretch>
                      <a:fillRect/>
                    </a:stretch>
                  </pic:blipFill>
                  <pic:spPr>
                    <a:xfrm rot="5400000">
                      <a:off x="0" y="0"/>
                      <a:ext cx="3945255" cy="1224280"/>
                    </a:xfrm>
                    <a:prstGeom prst="rect">
                      <a:avLst/>
                    </a:prstGeom>
                  </pic:spPr>
                </pic:pic>
              </a:graphicData>
            </a:graphic>
          </wp:inline>
        </w:drawing>
      </w:r>
      <w:r>
        <w:rPr>
          <w:rFonts w:hint="eastAsia"/>
        </w:rPr>
        <w:t xml:space="preserve">           </w:t>
      </w:r>
      <w:r>
        <w:rPr>
          <w:rFonts w:hint="eastAsia"/>
        </w:rPr>
        <w:drawing>
          <wp:inline distT="0" distB="0" distL="114300" distR="114300">
            <wp:extent cx="3949700" cy="1259840"/>
            <wp:effectExtent l="0" t="0" r="16510" b="12700"/>
            <wp:docPr id="47" name="图片 47" descr="F:/2023/标准/征求意见稿0108/1.31/QQ截图20240131150244.jpgQQ截图2024013115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2023/标准/征求意见稿0108/1.31/QQ截图20240131150244.jpgQQ截图20240131150244"/>
                    <pic:cNvPicPr>
                      <a:picLocks noChangeAspect="1"/>
                    </pic:cNvPicPr>
                  </pic:nvPicPr>
                  <pic:blipFill>
                    <a:blip r:embed="rId23"/>
                    <a:srcRect l="2120" r="525" b="56358"/>
                    <a:stretch>
                      <a:fillRect/>
                    </a:stretch>
                  </pic:blipFill>
                  <pic:spPr>
                    <a:xfrm rot="5400000">
                      <a:off x="0" y="0"/>
                      <a:ext cx="3949700" cy="1259840"/>
                    </a:xfrm>
                    <a:prstGeom prst="rect">
                      <a:avLst/>
                    </a:prstGeom>
                  </pic:spPr>
                </pic:pic>
              </a:graphicData>
            </a:graphic>
          </wp:inline>
        </w:drawing>
      </w:r>
    </w:p>
    <w:p>
      <w:pPr>
        <w:pStyle w:val="2"/>
        <w:ind w:firstLine="1476" w:firstLineChars="700"/>
        <w:rPr>
          <w:rFonts w:cs="Times New Roman"/>
          <w:b/>
          <w:bCs/>
          <w:sz w:val="21"/>
          <w:szCs w:val="21"/>
        </w:rPr>
      </w:pPr>
      <w:r>
        <w:rPr>
          <w:rFonts w:hint="eastAsia" w:cs="宋体"/>
          <w:b/>
          <w:bCs/>
          <w:sz w:val="21"/>
          <w:szCs w:val="21"/>
        </w:rPr>
        <w:t>（a）洞口过梁一般构造      （b）洞口过梁低能耗构造</w:t>
      </w:r>
    </w:p>
    <w:p>
      <w:pPr>
        <w:snapToGrid w:val="0"/>
        <w:jc w:val="center"/>
        <w:rPr>
          <w:rFonts w:cs="Times New Roman"/>
          <w:b/>
          <w:bCs/>
          <w:sz w:val="21"/>
          <w:szCs w:val="21"/>
        </w:rPr>
      </w:pPr>
      <w:r>
        <w:rPr>
          <w:rFonts w:cs="Times New Roman"/>
          <w:b/>
          <w:bCs/>
          <w:sz w:val="21"/>
          <w:szCs w:val="21"/>
        </w:rPr>
        <w:t>图4.</w:t>
      </w:r>
      <w:r>
        <w:rPr>
          <w:rFonts w:hint="eastAsia" w:cs="Times New Roman"/>
          <w:b/>
          <w:bCs/>
          <w:sz w:val="21"/>
          <w:szCs w:val="21"/>
        </w:rPr>
        <w:t>4</w:t>
      </w:r>
      <w:r>
        <w:rPr>
          <w:rFonts w:cs="Times New Roman"/>
          <w:b/>
          <w:bCs/>
          <w:sz w:val="21"/>
          <w:szCs w:val="21"/>
        </w:rPr>
        <w:t>.6-2  墙体洞口上、下侧构造</w:t>
      </w:r>
    </w:p>
    <w:p>
      <w:pPr>
        <w:snapToGrid w:val="0"/>
        <w:jc w:val="center"/>
        <w:rPr>
          <w:rFonts w:cs="Times New Roman"/>
          <w:sz w:val="18"/>
          <w:szCs w:val="18"/>
        </w:rPr>
      </w:pPr>
      <w:r>
        <w:rPr>
          <w:rFonts w:hint="eastAsia" w:cs="Times New Roman"/>
          <w:sz w:val="18"/>
          <w:szCs w:val="18"/>
        </w:rPr>
        <w:t>1-墙面板；2-洞口板；3-连接件；4-自攻螺钉；5-螺栓；6-射钉；7-钢筋混凝土梁板；8-抗渗条</w:t>
      </w:r>
    </w:p>
    <w:p>
      <w:pPr>
        <w:snapToGrid w:val="0"/>
        <w:rPr>
          <w:rFonts w:cs="Times New Roman"/>
        </w:rPr>
      </w:pPr>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.7</w:t>
      </w:r>
      <w:r>
        <w:rPr>
          <w:rFonts w:cs="Times New Roman"/>
        </w:rPr>
        <w:t>  墙体四周及内部应设置注浆仓，并应符合下列规定：</w:t>
      </w:r>
    </w:p>
    <w:p>
      <w:pPr>
        <w:snapToGrid w:val="0"/>
        <w:ind w:firstLine="482" w:firstLineChars="200"/>
        <w:rPr>
          <w:rFonts w:cs="Times New Roman"/>
        </w:rPr>
      </w:pPr>
      <w:r>
        <w:rPr>
          <w:rFonts w:cs="Times New Roman"/>
          <w:b/>
          <w:bCs/>
        </w:rPr>
        <w:t xml:space="preserve">1  </w:t>
      </w:r>
      <w:r>
        <w:rPr>
          <w:rFonts w:cs="Times New Roman"/>
        </w:rPr>
        <w:t>注浆仓应使用注仓料浇筑</w:t>
      </w:r>
      <w:r>
        <w:rPr>
          <w:rFonts w:hint="eastAsia" w:cs="Times New Roman"/>
        </w:rPr>
        <w:t>。</w:t>
      </w:r>
    </w:p>
    <w:p>
      <w:pPr>
        <w:snapToGrid w:val="0"/>
        <w:ind w:firstLine="480"/>
        <w:rPr>
          <w:rFonts w:cs="Times New Roman"/>
        </w:rPr>
      </w:pPr>
      <w:r>
        <w:rPr>
          <w:rFonts w:cs="Times New Roman"/>
          <w:b/>
          <w:bCs/>
        </w:rPr>
        <w:t xml:space="preserve">2  </w:t>
      </w:r>
      <w:r>
        <w:rPr>
          <w:rFonts w:cs="Times New Roman"/>
        </w:rPr>
        <w:t>墙体两侧注浆仓宽度不应小于25mm，顶部注浆仓高度不应小于50mm（图4.</w:t>
      </w:r>
      <w:r>
        <w:rPr>
          <w:rFonts w:hint="eastAsia" w:cs="Times New Roman"/>
        </w:rPr>
        <w:t>4</w:t>
      </w:r>
      <w:r>
        <w:rPr>
          <w:rFonts w:cs="Times New Roman"/>
        </w:rPr>
        <w:t>.7-1）</w:t>
      </w:r>
      <w:r>
        <w:rPr>
          <w:rFonts w:hint="eastAsia" w:cs="Times New Roman"/>
        </w:rPr>
        <w:t>。</w:t>
      </w:r>
    </w:p>
    <w:p>
      <w:pPr>
        <w:tabs>
          <w:tab w:val="left" w:pos="2220"/>
        </w:tabs>
        <w:snapToGrid w:val="0"/>
        <w:jc w:val="center"/>
        <w:rPr>
          <w:rFonts w:cs="Times New Roman"/>
        </w:rPr>
      </w:pPr>
      <w:r>
        <w:rPr>
          <w:rFonts w:cs="Times New Roman"/>
        </w:rPr>
        <w:drawing>
          <wp:inline distT="0" distB="0" distL="114300" distR="114300">
            <wp:extent cx="3751580" cy="1548130"/>
            <wp:effectExtent l="0" t="0" r="1270" b="13970"/>
            <wp:docPr id="43" name="图片 43" descr="F:/2023/标准/征求意见稿0108/QQ截图20240312142137.jpgQQ截图2024031214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2023/标准/征求意见稿0108/QQ截图20240312142137.jpgQQ截图20240312142137"/>
                    <pic:cNvPicPr>
                      <a:picLocks noChangeAspect="1"/>
                    </pic:cNvPicPr>
                  </pic:nvPicPr>
                  <pic:blipFill>
                    <a:blip r:embed="rId24"/>
                    <a:srcRect t="3850" b="3850"/>
                    <a:stretch>
                      <a:fillRect/>
                    </a:stretch>
                  </pic:blipFill>
                  <pic:spPr>
                    <a:xfrm>
                      <a:off x="0" y="0"/>
                      <a:ext cx="3751580" cy="1548130"/>
                    </a:xfrm>
                    <a:prstGeom prst="rect">
                      <a:avLst/>
                    </a:prstGeom>
                  </pic:spPr>
                </pic:pic>
              </a:graphicData>
            </a:graphic>
          </wp:inline>
        </w:drawing>
      </w:r>
    </w:p>
    <w:p>
      <w:pPr>
        <w:snapToGrid w:val="0"/>
        <w:ind w:firstLine="800" w:firstLineChars="400"/>
        <w:rPr>
          <w:rFonts w:cs="Times New Roman"/>
          <w:sz w:val="20"/>
          <w:szCs w:val="20"/>
        </w:rPr>
      </w:pPr>
      <w:r>
        <w:rPr>
          <w:rFonts w:cs="Times New Roman"/>
          <w:sz w:val="20"/>
          <w:szCs w:val="20"/>
        </w:rPr>
        <w:t xml:space="preserve">  </w:t>
      </w:r>
      <w:r>
        <w:rPr>
          <w:rFonts w:hint="eastAsia" w:cs="Times New Roman"/>
          <w:sz w:val="20"/>
          <w:szCs w:val="20"/>
        </w:rPr>
        <w:t xml:space="preserve">    </w:t>
      </w:r>
      <w:r>
        <w:rPr>
          <w:rFonts w:cs="Times New Roman"/>
          <w:b/>
          <w:bCs/>
          <w:sz w:val="21"/>
          <w:szCs w:val="21"/>
        </w:rPr>
        <w:t>（a）顶部注浆仓设置           （b）两侧注浆仓设置</w:t>
      </w:r>
    </w:p>
    <w:p>
      <w:pPr>
        <w:snapToGrid w:val="0"/>
        <w:jc w:val="center"/>
        <w:rPr>
          <w:rFonts w:cs="Times New Roman"/>
          <w:b/>
          <w:bCs/>
          <w:sz w:val="21"/>
          <w:szCs w:val="21"/>
        </w:rPr>
      </w:pPr>
      <w:r>
        <w:rPr>
          <w:rFonts w:cs="Times New Roman"/>
          <w:b/>
          <w:bCs/>
          <w:sz w:val="21"/>
          <w:szCs w:val="21"/>
        </w:rPr>
        <w:t>图4.</w:t>
      </w:r>
      <w:r>
        <w:rPr>
          <w:rFonts w:hint="eastAsia" w:cs="Times New Roman"/>
          <w:b/>
          <w:bCs/>
          <w:sz w:val="21"/>
          <w:szCs w:val="21"/>
        </w:rPr>
        <w:t>4</w:t>
      </w:r>
      <w:r>
        <w:rPr>
          <w:rFonts w:cs="Times New Roman"/>
          <w:b/>
          <w:bCs/>
          <w:sz w:val="21"/>
          <w:szCs w:val="21"/>
        </w:rPr>
        <w:t>.7-1  墙体顶部及两侧注浆仓设置</w:t>
      </w:r>
    </w:p>
    <w:p>
      <w:pPr>
        <w:snapToGrid w:val="0"/>
        <w:jc w:val="center"/>
        <w:rPr>
          <w:rFonts w:cs="Times New Roman"/>
          <w:sz w:val="18"/>
          <w:szCs w:val="18"/>
        </w:rPr>
      </w:pPr>
      <w:r>
        <w:rPr>
          <w:rFonts w:cs="Times New Roman"/>
          <w:sz w:val="18"/>
          <w:szCs w:val="18"/>
        </w:rPr>
        <w:t>1-墙面板；2-保温隔热材料；3-注浆仓；4-钢筋混凝土梁板、墙柱</w:t>
      </w:r>
    </w:p>
    <w:p>
      <w:pPr>
        <w:snapToGrid w:val="0"/>
        <w:rPr>
          <w:rFonts w:cs="Times New Roman"/>
        </w:rPr>
      </w:pPr>
      <w:r>
        <w:rPr>
          <w:rStyle w:val="22"/>
          <w:rFonts w:ascii="Times New Roman" w:hAnsi="Times New Roman" w:cs="Times New Roman"/>
        </w:rPr>
        <w:t xml:space="preserve">    </w:t>
      </w:r>
      <w:r>
        <w:rPr>
          <w:rFonts w:cs="Times New Roman"/>
          <w:b/>
          <w:bCs/>
        </w:rPr>
        <w:t xml:space="preserve">3  </w:t>
      </w:r>
      <w:r>
        <w:rPr>
          <w:rFonts w:cs="Times New Roman"/>
        </w:rPr>
        <w:t>墙体底部注浆仓作为防潮层使用时，注仓料应采用具有防水性能的材料。一般部位，防潮层高度不应小于50mm</w:t>
      </w:r>
      <w:r>
        <w:rPr>
          <w:rFonts w:hint="eastAsia" w:cs="Times New Roman"/>
        </w:rPr>
        <w:t>；</w:t>
      </w:r>
      <w:r>
        <w:rPr>
          <w:rFonts w:cs="Times New Roman"/>
        </w:rPr>
        <w:t>厨房和卫生间等</w:t>
      </w:r>
      <w:r>
        <w:rPr>
          <w:rFonts w:hint="eastAsia" w:cs="Times New Roman"/>
        </w:rPr>
        <w:t>有</w:t>
      </w:r>
      <w:r>
        <w:rPr>
          <w:rFonts w:cs="Times New Roman"/>
        </w:rPr>
        <w:t>防水、防潮的部位，防潮层高度不应小于150mm（图4.</w:t>
      </w:r>
      <w:r>
        <w:rPr>
          <w:rFonts w:hint="eastAsia" w:cs="Times New Roman"/>
        </w:rPr>
        <w:t>4</w:t>
      </w:r>
      <w:r>
        <w:rPr>
          <w:rFonts w:cs="Times New Roman"/>
        </w:rPr>
        <w:t>.7-2），且装饰面层以上的防水层高度不应小于</w:t>
      </w:r>
      <w:r>
        <w:rPr>
          <w:rFonts w:hint="eastAsia" w:cs="Times New Roman"/>
        </w:rPr>
        <w:t>50mm。墙面板底部距结构层间隙不应小于20mm。</w:t>
      </w:r>
    </w:p>
    <w:p>
      <w:pPr>
        <w:tabs>
          <w:tab w:val="left" w:pos="2220"/>
        </w:tabs>
        <w:snapToGrid w:val="0"/>
        <w:jc w:val="center"/>
        <w:rPr>
          <w:rFonts w:cs="Times New Roman"/>
        </w:rPr>
      </w:pPr>
      <w:r>
        <w:rPr>
          <w:rFonts w:cs="Times New Roman"/>
        </w:rPr>
        <w:drawing>
          <wp:inline distT="0" distB="0" distL="114300" distR="114300">
            <wp:extent cx="1583690" cy="1764030"/>
            <wp:effectExtent l="0" t="0" r="16510" b="7620"/>
            <wp:docPr id="44" name="图片 44" descr="F:/2023/标准/征求意见稿0108/QQ截图20240229134429.jpgQQ截图202402291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2023/标准/征求意见稿0108/QQ截图20240229134429.jpgQQ截图20240229134429"/>
                    <pic:cNvPicPr>
                      <a:picLocks noChangeAspect="1"/>
                    </pic:cNvPicPr>
                  </pic:nvPicPr>
                  <pic:blipFill>
                    <a:blip r:embed="rId25"/>
                    <a:srcRect t="5388" r="52016" b="3370"/>
                    <a:stretch>
                      <a:fillRect/>
                    </a:stretch>
                  </pic:blipFill>
                  <pic:spPr>
                    <a:xfrm>
                      <a:off x="0" y="0"/>
                      <a:ext cx="1583690" cy="1764030"/>
                    </a:xfrm>
                    <a:prstGeom prst="rect">
                      <a:avLst/>
                    </a:prstGeom>
                  </pic:spPr>
                </pic:pic>
              </a:graphicData>
            </a:graphic>
          </wp:inline>
        </w:drawing>
      </w:r>
      <w:r>
        <w:rPr>
          <w:rFonts w:hint="eastAsia" w:cs="Times New Roman"/>
        </w:rPr>
        <w:t xml:space="preserve">             </w:t>
      </w:r>
      <w:r>
        <w:rPr>
          <w:rFonts w:cs="Times New Roman"/>
        </w:rPr>
        <w:drawing>
          <wp:inline distT="0" distB="0" distL="114300" distR="114300">
            <wp:extent cx="1636395" cy="1764030"/>
            <wp:effectExtent l="0" t="0" r="1905" b="7620"/>
            <wp:docPr id="48" name="图片 48" descr="F:/2023/标准/征求意见稿0108/QQ截图20240229134429.jpgQQ截图202402291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2023/标准/征求意见稿0108/QQ截图20240229134429.jpgQQ截图20240229134429"/>
                    <pic:cNvPicPr>
                      <a:picLocks noChangeAspect="1"/>
                    </pic:cNvPicPr>
                  </pic:nvPicPr>
                  <pic:blipFill>
                    <a:blip r:embed="rId25"/>
                    <a:srcRect l="48255" t="5388" r="2172" b="3370"/>
                    <a:stretch>
                      <a:fillRect/>
                    </a:stretch>
                  </pic:blipFill>
                  <pic:spPr>
                    <a:xfrm>
                      <a:off x="0" y="0"/>
                      <a:ext cx="1636395" cy="1764030"/>
                    </a:xfrm>
                    <a:prstGeom prst="rect">
                      <a:avLst/>
                    </a:prstGeom>
                  </pic:spPr>
                </pic:pic>
              </a:graphicData>
            </a:graphic>
          </wp:inline>
        </w:drawing>
      </w:r>
    </w:p>
    <w:p>
      <w:pPr>
        <w:snapToGrid w:val="0"/>
        <w:ind w:firstLine="843" w:firstLineChars="400"/>
        <w:rPr>
          <w:rFonts w:cs="Times New Roman"/>
          <w:b/>
          <w:bCs/>
          <w:sz w:val="21"/>
          <w:szCs w:val="21"/>
        </w:rPr>
      </w:pPr>
      <w:r>
        <w:rPr>
          <w:rFonts w:cs="Times New Roman"/>
          <w:b/>
          <w:bCs/>
          <w:sz w:val="21"/>
          <w:szCs w:val="21"/>
        </w:rPr>
        <w:t xml:space="preserve">（a）一般部位防潮层设置   </w:t>
      </w:r>
      <w:r>
        <w:rPr>
          <w:rFonts w:hint="eastAsia" w:cs="Times New Roman"/>
          <w:b/>
          <w:bCs/>
          <w:sz w:val="21"/>
          <w:szCs w:val="21"/>
        </w:rPr>
        <w:t xml:space="preserve">     </w:t>
      </w:r>
      <w:r>
        <w:rPr>
          <w:rFonts w:cs="Times New Roman"/>
          <w:b/>
          <w:bCs/>
          <w:sz w:val="21"/>
          <w:szCs w:val="21"/>
        </w:rPr>
        <w:t>（b）厨卫等需防水、防潮部位防潮层设置</w:t>
      </w:r>
    </w:p>
    <w:p>
      <w:pPr>
        <w:snapToGrid w:val="0"/>
        <w:jc w:val="center"/>
        <w:rPr>
          <w:rFonts w:cs="Times New Roman"/>
          <w:b/>
          <w:bCs/>
          <w:sz w:val="21"/>
          <w:szCs w:val="21"/>
        </w:rPr>
      </w:pPr>
      <w:r>
        <w:rPr>
          <w:rFonts w:cs="Times New Roman"/>
          <w:b/>
          <w:bCs/>
          <w:sz w:val="21"/>
          <w:szCs w:val="21"/>
        </w:rPr>
        <w:t>图4.</w:t>
      </w:r>
      <w:r>
        <w:rPr>
          <w:rFonts w:hint="eastAsia" w:cs="Times New Roman"/>
          <w:b/>
          <w:bCs/>
          <w:sz w:val="21"/>
          <w:szCs w:val="21"/>
        </w:rPr>
        <w:t>4</w:t>
      </w:r>
      <w:r>
        <w:rPr>
          <w:rFonts w:cs="Times New Roman"/>
          <w:b/>
          <w:bCs/>
          <w:sz w:val="21"/>
          <w:szCs w:val="21"/>
        </w:rPr>
        <w:t>.7-2  墙体底部注浆仓设置</w:t>
      </w:r>
    </w:p>
    <w:p>
      <w:pPr>
        <w:snapToGrid w:val="0"/>
        <w:jc w:val="center"/>
        <w:rPr>
          <w:sz w:val="18"/>
          <w:szCs w:val="18"/>
        </w:rPr>
      </w:pPr>
      <w:r>
        <w:rPr>
          <w:sz w:val="18"/>
          <w:szCs w:val="18"/>
        </w:rPr>
        <w:t>1-墙面板；2-保温隔热材料；3-注浆仓；4-钢筋混凝土梁板；5-楼地面建筑面层</w:t>
      </w:r>
    </w:p>
    <w:p>
      <w:pPr>
        <w:ind w:firstLine="482" w:firstLineChars="200"/>
        <w:rPr>
          <w:rFonts w:cs="Times New Roman"/>
        </w:rPr>
      </w:pPr>
      <w:r>
        <w:rPr>
          <w:rFonts w:cs="Times New Roman"/>
          <w:b/>
          <w:bCs/>
        </w:rPr>
        <w:t>4</w:t>
      </w:r>
      <w:r>
        <w:rPr>
          <w:rFonts w:cs="Times New Roman"/>
        </w:rPr>
        <w:t xml:space="preserve">  </w:t>
      </w:r>
      <w:r>
        <w:t>墙体内部安装保温隔热材料时，应预留一定间隙作为注浆仓。</w:t>
      </w:r>
      <w:r>
        <w:rPr>
          <w:rFonts w:cs="Times New Roman"/>
        </w:rPr>
        <w:t>水平注浆仓高度不应小于50mm，间距不应大于800mm。竖向注浆仓设置在墙面板间隙处，</w:t>
      </w:r>
      <w:r>
        <w:t>宽度不应小于50mm，保温隔热材料的端部应较墙面板内收不小于20mm</w:t>
      </w:r>
      <w:r>
        <w:rPr>
          <w:rFonts w:hint="eastAsia"/>
        </w:rPr>
        <w:t>。</w:t>
      </w:r>
      <w:r>
        <w:rPr>
          <w:rFonts w:cs="Times New Roman"/>
        </w:rPr>
        <w:t>（图4.</w:t>
      </w:r>
      <w:r>
        <w:rPr>
          <w:rFonts w:hint="eastAsia" w:cs="Times New Roman"/>
        </w:rPr>
        <w:t>4</w:t>
      </w:r>
      <w:r>
        <w:rPr>
          <w:rFonts w:cs="Times New Roman"/>
        </w:rPr>
        <w:t>.7-3）</w:t>
      </w:r>
    </w:p>
    <w:p>
      <w:pPr>
        <w:tabs>
          <w:tab w:val="left" w:pos="2220"/>
        </w:tabs>
        <w:snapToGrid w:val="0"/>
        <w:jc w:val="center"/>
        <w:rPr>
          <w:rFonts w:cs="Times New Roman"/>
        </w:rPr>
      </w:pPr>
      <w:r>
        <w:rPr>
          <w:rFonts w:hint="eastAsia"/>
        </w:rPr>
        <w:drawing>
          <wp:inline distT="0" distB="0" distL="114300" distR="114300">
            <wp:extent cx="3716655" cy="1800225"/>
            <wp:effectExtent l="0" t="0" r="17145" b="9525"/>
            <wp:docPr id="76" name="图片 76" descr="F:/2023/标准/图片2/微信截图_20240129134215.png微信截图_2024012913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2023/标准/图片2/微信截图_20240129134215.png微信截图_20240129134215"/>
                    <pic:cNvPicPr>
                      <a:picLocks noChangeAspect="1"/>
                    </pic:cNvPicPr>
                  </pic:nvPicPr>
                  <pic:blipFill>
                    <a:blip r:embed="rId26"/>
                    <a:srcRect t="2995" b="147"/>
                    <a:stretch>
                      <a:fillRect/>
                    </a:stretch>
                  </pic:blipFill>
                  <pic:spPr>
                    <a:xfrm>
                      <a:off x="0" y="0"/>
                      <a:ext cx="3716655" cy="1800225"/>
                    </a:xfrm>
                    <a:prstGeom prst="rect">
                      <a:avLst/>
                    </a:prstGeom>
                  </pic:spPr>
                </pic:pic>
              </a:graphicData>
            </a:graphic>
          </wp:inline>
        </w:drawing>
      </w:r>
    </w:p>
    <w:p>
      <w:pPr>
        <w:tabs>
          <w:tab w:val="left" w:pos="2220"/>
        </w:tabs>
        <w:snapToGrid w:val="0"/>
        <w:ind w:firstLine="1054" w:firstLineChars="500"/>
        <w:jc w:val="both"/>
        <w:rPr>
          <w:rFonts w:cs="Times New Roman"/>
          <w:b/>
          <w:bCs/>
          <w:sz w:val="21"/>
          <w:szCs w:val="21"/>
        </w:rPr>
      </w:pPr>
      <w:r>
        <w:rPr>
          <w:rFonts w:cs="Times New Roman"/>
          <w:b/>
          <w:bCs/>
          <w:sz w:val="21"/>
          <w:szCs w:val="21"/>
        </w:rPr>
        <w:t xml:space="preserve">（a）水平注浆仓设置       </w:t>
      </w:r>
      <w:r>
        <w:rPr>
          <w:rFonts w:hint="eastAsia" w:cs="Times New Roman"/>
          <w:b/>
          <w:bCs/>
          <w:sz w:val="21"/>
          <w:szCs w:val="21"/>
        </w:rPr>
        <w:t xml:space="preserve">   </w:t>
      </w:r>
      <w:r>
        <w:rPr>
          <w:rFonts w:cs="Times New Roman"/>
          <w:b/>
          <w:bCs/>
          <w:sz w:val="21"/>
          <w:szCs w:val="21"/>
        </w:rPr>
        <w:t>（b）竖向注浆仓设置</w:t>
      </w:r>
    </w:p>
    <w:p>
      <w:pPr>
        <w:snapToGrid w:val="0"/>
        <w:jc w:val="center"/>
        <w:rPr>
          <w:rFonts w:cs="Times New Roman"/>
          <w:b/>
          <w:bCs/>
          <w:sz w:val="21"/>
          <w:szCs w:val="21"/>
        </w:rPr>
      </w:pPr>
      <w:r>
        <w:rPr>
          <w:rFonts w:cs="Times New Roman"/>
          <w:b/>
          <w:bCs/>
          <w:sz w:val="21"/>
          <w:szCs w:val="21"/>
        </w:rPr>
        <w:t>图4.</w:t>
      </w:r>
      <w:r>
        <w:rPr>
          <w:rFonts w:hint="eastAsia" w:cs="Times New Roman"/>
          <w:b/>
          <w:bCs/>
          <w:sz w:val="21"/>
          <w:szCs w:val="21"/>
        </w:rPr>
        <w:t>4</w:t>
      </w:r>
      <w:r>
        <w:rPr>
          <w:rFonts w:cs="Times New Roman"/>
          <w:b/>
          <w:bCs/>
          <w:sz w:val="21"/>
          <w:szCs w:val="21"/>
        </w:rPr>
        <w:t>.7-3  墙体中部注浆仓设置</w:t>
      </w:r>
    </w:p>
    <w:p>
      <w:pPr>
        <w:snapToGrid w:val="0"/>
        <w:jc w:val="center"/>
        <w:rPr>
          <w:rFonts w:cs="Times New Roman"/>
          <w:sz w:val="18"/>
          <w:szCs w:val="18"/>
        </w:rPr>
      </w:pPr>
      <w:r>
        <w:rPr>
          <w:rFonts w:cs="Times New Roman"/>
          <w:sz w:val="18"/>
          <w:szCs w:val="18"/>
        </w:rPr>
        <w:t>1-墙面板；2-保温隔热材料；3-注浆仓</w:t>
      </w:r>
    </w:p>
    <w:p>
      <w:pPr>
        <w:snapToGrid w:val="0"/>
        <w:rPr>
          <w:rFonts w:cs="Times New Roman"/>
        </w:rPr>
      </w:pPr>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.8</w:t>
      </w:r>
      <w:r>
        <w:rPr>
          <w:rFonts w:cs="Times New Roman"/>
        </w:rPr>
        <w:t>  墙体与墙体﹑墙体与主体结构之间接缝处应采取防裂措施。交界处应采用粘贴耐碱玻纤网格布聚合物水泥加强层后方可饰面。墙体采用粘瓷砖或薄石材等装修做法时，应对墙面进行相应的拉毛或挂网处理。采用玻纤网、纸带等接缝带和嵌缝膏进行加强处理。</w:t>
      </w:r>
    </w:p>
    <w:p>
      <w:pPr>
        <w:snapToGrid w:val="0"/>
        <w:rPr>
          <w:rStyle w:val="22"/>
          <w:rFonts w:ascii="Times New Roman" w:hAnsi="Times New Roman" w:cs="Times New Roman"/>
          <w:b w:val="0"/>
        </w:rPr>
      </w:pPr>
      <w:r>
        <w:rPr>
          <w:rStyle w:val="22"/>
          <w:rFonts w:hint="eastAsia" w:ascii="Times New Roman" w:hAnsi="Times New Roman" w:cs="Times New Roman"/>
        </w:rPr>
        <w:t>4.</w:t>
      </w:r>
      <w:r>
        <w:rPr>
          <w:rStyle w:val="22"/>
          <w:rFonts w:hint="eastAsia" w:cs="Times New Roman"/>
        </w:rPr>
        <w:t>4</w:t>
      </w:r>
      <w:r>
        <w:rPr>
          <w:rStyle w:val="22"/>
          <w:rFonts w:hint="eastAsia" w:ascii="Times New Roman" w:hAnsi="Times New Roman" w:cs="Times New Roman"/>
        </w:rPr>
        <w:t>.9  </w:t>
      </w:r>
      <w:r>
        <w:rPr>
          <w:rStyle w:val="22"/>
          <w:rFonts w:hint="eastAsia" w:ascii="Times New Roman" w:hAnsi="Times New Roman" w:cs="Times New Roman"/>
          <w:b w:val="0"/>
        </w:rPr>
        <w:t>建筑外墙、外门窗洞口、有防水要求房间的室内墙面应进行防水设计，采用的技术方法和措施应符合《建筑与市政工程防水通用规范》GB 55030、《建筑外墙防水工程技术规程》JGJ/T 235、《住宅室内防水工程技术规范》JGJ 298的要求。</w:t>
      </w:r>
    </w:p>
    <w:p>
      <w:pPr>
        <w:snapToGrid w:val="0"/>
        <w:ind w:firstLine="480"/>
        <w:rPr>
          <w:rFonts w:cs="Times New Roman"/>
          <w:sz w:val="21"/>
          <w:szCs w:val="21"/>
        </w:rPr>
        <w:sectPr>
          <w:pgSz w:w="11906" w:h="16838"/>
          <w:pgMar w:top="1440" w:right="1800" w:bottom="1440" w:left="1800" w:header="851" w:footer="992" w:gutter="0"/>
          <w:cols w:space="425" w:num="1"/>
          <w:docGrid w:type="lines" w:linePitch="312" w:charSpace="0"/>
        </w:sectPr>
      </w:pPr>
    </w:p>
    <w:p>
      <w:pPr>
        <w:pStyle w:val="3"/>
        <w:snapToGrid w:val="0"/>
        <w:spacing w:before="0" w:after="0" w:line="360" w:lineRule="auto"/>
        <w:rPr>
          <w:rFonts w:ascii="Times New Roman" w:hAnsi="Times New Roman" w:cs="Times New Roman"/>
        </w:rPr>
      </w:pPr>
      <w:bookmarkStart w:id="73" w:name="_Toc10569"/>
      <w:bookmarkStart w:id="74" w:name="_Toc29195"/>
      <w:bookmarkStart w:id="75" w:name="_Toc17169"/>
      <w:r>
        <w:rPr>
          <w:rFonts w:ascii="Times New Roman" w:hAnsi="Times New Roman" w:cs="Times New Roman"/>
        </w:rPr>
        <w:t>5  施  工</w:t>
      </w:r>
      <w:bookmarkEnd w:id="73"/>
      <w:bookmarkEnd w:id="74"/>
      <w:bookmarkEnd w:id="75"/>
    </w:p>
    <w:p>
      <w:bookmarkStart w:id="76" w:name="_Toc20763"/>
      <w:bookmarkStart w:id="77" w:name="_Toc31087"/>
    </w:p>
    <w:p>
      <w:pPr>
        <w:pStyle w:val="4"/>
        <w:snapToGrid w:val="0"/>
        <w:spacing w:before="0" w:after="0" w:line="360" w:lineRule="auto"/>
        <w:rPr>
          <w:rFonts w:ascii="Times New Roman" w:hAnsi="Times New Roman" w:cs="Times New Roman"/>
        </w:rPr>
      </w:pPr>
      <w:bookmarkStart w:id="78" w:name="_Toc5036"/>
      <w:r>
        <w:rPr>
          <w:rFonts w:ascii="Times New Roman" w:hAnsi="Times New Roman" w:cs="Times New Roman"/>
        </w:rPr>
        <w:t>5.1  一般规定</w:t>
      </w:r>
      <w:bookmarkEnd w:id="76"/>
      <w:bookmarkEnd w:id="77"/>
      <w:bookmarkEnd w:id="78"/>
    </w:p>
    <w:p>
      <w:pPr>
        <w:snapToGrid w:val="0"/>
        <w:rPr>
          <w:rFonts w:cs="Times New Roman"/>
        </w:rPr>
      </w:pPr>
      <w:r>
        <w:rPr>
          <w:rStyle w:val="22"/>
          <w:rFonts w:ascii="Times New Roman" w:hAnsi="Times New Roman" w:cs="Times New Roman"/>
        </w:rPr>
        <w:t>5.1.1</w:t>
      </w:r>
      <w:r>
        <w:rPr>
          <w:rFonts w:cs="Times New Roman"/>
        </w:rPr>
        <w:t>  装配式复合轻质墙体应在主体结构分部工程验收合格后施工。墙体施工前，应编制专项施工方案，施工方案应包括下列内容：</w:t>
      </w:r>
    </w:p>
    <w:p>
      <w:pPr>
        <w:snapToGrid w:val="0"/>
        <w:ind w:firstLine="482" w:firstLineChars="200"/>
        <w:rPr>
          <w:rFonts w:cs="Times New Roman"/>
        </w:rPr>
      </w:pPr>
      <w:r>
        <w:rPr>
          <w:rFonts w:cs="Times New Roman"/>
          <w:b/>
          <w:bCs/>
        </w:rPr>
        <w:t>1</w:t>
      </w:r>
      <w:r>
        <w:rPr>
          <w:rFonts w:cs="Times New Roman"/>
        </w:rPr>
        <w:tab/>
      </w:r>
      <w:r>
        <w:rPr>
          <w:rFonts w:cs="Times New Roman"/>
        </w:rPr>
        <w:t>工程概况；</w:t>
      </w:r>
    </w:p>
    <w:p>
      <w:pPr>
        <w:snapToGrid w:val="0"/>
        <w:ind w:firstLine="482" w:firstLineChars="200"/>
        <w:rPr>
          <w:rFonts w:cs="Times New Roman"/>
        </w:rPr>
      </w:pPr>
      <w:r>
        <w:rPr>
          <w:rFonts w:cs="Times New Roman"/>
          <w:b/>
          <w:bCs/>
        </w:rPr>
        <w:t>2</w:t>
      </w:r>
      <w:r>
        <w:rPr>
          <w:rFonts w:cs="Times New Roman"/>
        </w:rPr>
        <w:t xml:space="preserve">  方案编制依据；</w:t>
      </w:r>
    </w:p>
    <w:p>
      <w:pPr>
        <w:snapToGrid w:val="0"/>
        <w:ind w:firstLine="482" w:firstLineChars="200"/>
        <w:rPr>
          <w:rFonts w:cs="Times New Roman"/>
        </w:rPr>
      </w:pPr>
      <w:r>
        <w:rPr>
          <w:rFonts w:cs="Times New Roman"/>
          <w:b/>
          <w:bCs/>
        </w:rPr>
        <w:t>3</w:t>
      </w:r>
      <w:r>
        <w:rPr>
          <w:rFonts w:cs="Times New Roman"/>
        </w:rPr>
        <w:t xml:space="preserve">  墙体深化设计图纸；</w:t>
      </w:r>
    </w:p>
    <w:p>
      <w:pPr>
        <w:snapToGrid w:val="0"/>
        <w:ind w:firstLine="482" w:firstLineChars="200"/>
        <w:rPr>
          <w:rFonts w:cs="Times New Roman"/>
        </w:rPr>
      </w:pPr>
      <w:r>
        <w:rPr>
          <w:rFonts w:hint="eastAsia" w:cs="Times New Roman"/>
          <w:b/>
          <w:bCs/>
        </w:rPr>
        <w:t>4</w:t>
      </w:r>
      <w:r>
        <w:rPr>
          <w:rFonts w:cs="Times New Roman"/>
        </w:rPr>
        <w:t xml:space="preserve">  施工管理组织</w:t>
      </w:r>
      <w:r>
        <w:rPr>
          <w:rFonts w:hint="eastAsia" w:cs="Times New Roman"/>
        </w:rPr>
        <w:t>架</w:t>
      </w:r>
      <w:r>
        <w:rPr>
          <w:rFonts w:cs="Times New Roman"/>
        </w:rPr>
        <w:t>构</w:t>
      </w:r>
      <w:r>
        <w:rPr>
          <w:rFonts w:hint="eastAsia" w:cs="Times New Roman"/>
        </w:rPr>
        <w:t>；</w:t>
      </w:r>
    </w:p>
    <w:p>
      <w:pPr>
        <w:snapToGrid w:val="0"/>
        <w:ind w:firstLine="482" w:firstLineChars="200"/>
        <w:rPr>
          <w:rFonts w:cs="Times New Roman"/>
        </w:rPr>
      </w:pPr>
      <w:r>
        <w:rPr>
          <w:rFonts w:hint="eastAsia" w:cs="Times New Roman"/>
          <w:b/>
          <w:bCs/>
        </w:rPr>
        <w:t>5</w:t>
      </w:r>
      <w:r>
        <w:rPr>
          <w:rFonts w:cs="Times New Roman"/>
        </w:rPr>
        <w:t xml:space="preserve">  材料堆放、运输、储存、二次搬运；</w:t>
      </w:r>
    </w:p>
    <w:p>
      <w:pPr>
        <w:snapToGrid w:val="0"/>
        <w:ind w:firstLine="482" w:firstLineChars="200"/>
        <w:rPr>
          <w:rFonts w:cs="Times New Roman"/>
        </w:rPr>
      </w:pPr>
      <w:r>
        <w:rPr>
          <w:rFonts w:hint="eastAsia" w:cs="Times New Roman"/>
          <w:b/>
          <w:bCs/>
        </w:rPr>
        <w:t>6</w:t>
      </w:r>
      <w:r>
        <w:rPr>
          <w:rFonts w:cs="Times New Roman"/>
          <w:b/>
          <w:bCs/>
        </w:rPr>
        <w:t xml:space="preserve">  </w:t>
      </w:r>
      <w:r>
        <w:rPr>
          <w:rFonts w:cs="Times New Roman"/>
        </w:rPr>
        <w:t>进度计划；</w:t>
      </w:r>
    </w:p>
    <w:p>
      <w:pPr>
        <w:snapToGrid w:val="0"/>
        <w:ind w:firstLine="482" w:firstLineChars="200"/>
        <w:rPr>
          <w:rFonts w:cs="Times New Roman"/>
        </w:rPr>
      </w:pPr>
      <w:r>
        <w:rPr>
          <w:rFonts w:hint="eastAsia" w:cs="Times New Roman"/>
          <w:b/>
          <w:bCs/>
        </w:rPr>
        <w:t>7</w:t>
      </w:r>
      <w:r>
        <w:rPr>
          <w:rFonts w:cs="Times New Roman"/>
        </w:rPr>
        <w:t xml:space="preserve">  施工流程及</w:t>
      </w:r>
      <w:r>
        <w:rPr>
          <w:rFonts w:hint="eastAsia" w:cs="Times New Roman"/>
        </w:rPr>
        <w:t>工艺</w:t>
      </w:r>
      <w:r>
        <w:rPr>
          <w:rFonts w:cs="Times New Roman"/>
        </w:rPr>
        <w:t>；</w:t>
      </w:r>
    </w:p>
    <w:p>
      <w:pPr>
        <w:snapToGrid w:val="0"/>
        <w:ind w:firstLine="482" w:firstLineChars="200"/>
        <w:rPr>
          <w:rFonts w:cs="Times New Roman"/>
        </w:rPr>
      </w:pPr>
      <w:r>
        <w:rPr>
          <w:rFonts w:hint="eastAsia" w:cs="Times New Roman"/>
          <w:b/>
          <w:bCs/>
        </w:rPr>
        <w:t>8</w:t>
      </w:r>
      <w:r>
        <w:rPr>
          <w:rFonts w:cs="Times New Roman"/>
        </w:rPr>
        <w:t xml:space="preserve">  安装要点及质量检查要点；</w:t>
      </w:r>
    </w:p>
    <w:p>
      <w:pPr>
        <w:snapToGrid w:val="0"/>
        <w:ind w:firstLine="482" w:firstLineChars="200"/>
        <w:rPr>
          <w:rFonts w:cs="Times New Roman"/>
        </w:rPr>
      </w:pPr>
      <w:r>
        <w:rPr>
          <w:rFonts w:hint="eastAsia" w:cs="Times New Roman"/>
          <w:b/>
          <w:bCs/>
        </w:rPr>
        <w:t>9</w:t>
      </w:r>
      <w:r>
        <w:rPr>
          <w:rFonts w:cs="Times New Roman"/>
        </w:rPr>
        <w:t xml:space="preserve">  安全文明施工措施；</w:t>
      </w:r>
    </w:p>
    <w:p>
      <w:pPr>
        <w:snapToGrid w:val="0"/>
        <w:ind w:firstLine="482" w:firstLineChars="200"/>
        <w:rPr>
          <w:rFonts w:cs="Times New Roman"/>
        </w:rPr>
      </w:pPr>
      <w:r>
        <w:rPr>
          <w:rFonts w:hint="eastAsia" w:cs="Times New Roman"/>
          <w:b/>
          <w:bCs/>
        </w:rPr>
        <w:t>10</w:t>
      </w:r>
      <w:r>
        <w:rPr>
          <w:rFonts w:cs="Times New Roman"/>
        </w:rPr>
        <w:t>人、机、料配置清单。</w:t>
      </w:r>
    </w:p>
    <w:p>
      <w:pPr>
        <w:snapToGrid w:val="0"/>
        <w:rPr>
          <w:rFonts w:cs="Times New Roman"/>
        </w:rPr>
      </w:pPr>
      <w:r>
        <w:rPr>
          <w:rStyle w:val="22"/>
          <w:rFonts w:ascii="Times New Roman" w:hAnsi="Times New Roman" w:cs="Times New Roman"/>
        </w:rPr>
        <w:t>5.1.2</w:t>
      </w:r>
      <w:r>
        <w:rPr>
          <w:rFonts w:cs="Times New Roman"/>
        </w:rPr>
        <w:t xml:space="preserve">  正式施工前，宜先做样板间。</w:t>
      </w:r>
    </w:p>
    <w:p>
      <w:pPr>
        <w:snapToGrid w:val="0"/>
        <w:rPr>
          <w:rFonts w:cs="Times New Roman"/>
        </w:rPr>
      </w:pPr>
      <w:r>
        <w:rPr>
          <w:rStyle w:val="22"/>
          <w:rFonts w:ascii="Times New Roman" w:hAnsi="Times New Roman" w:cs="Times New Roman"/>
        </w:rPr>
        <w:t>5.1.3</w:t>
      </w:r>
      <w:r>
        <w:rPr>
          <w:rFonts w:cs="Times New Roman"/>
        </w:rPr>
        <w:t xml:space="preserve">  装配式复合轻质墙体安装前，施工单位应对墙面板安装人员进行技术和安全交底。安装人员应熟悉专项施工方案、施工图纸和深化设计图纸等。</w:t>
      </w:r>
    </w:p>
    <w:p>
      <w:pPr>
        <w:snapToGrid w:val="0"/>
        <w:rPr>
          <w:rFonts w:cs="Times New Roman"/>
        </w:rPr>
      </w:pPr>
      <w:r>
        <w:rPr>
          <w:rStyle w:val="22"/>
          <w:rFonts w:ascii="Times New Roman" w:hAnsi="Times New Roman" w:cs="Times New Roman"/>
        </w:rPr>
        <w:t xml:space="preserve">5.1.4  </w:t>
      </w:r>
      <w:r>
        <w:rPr>
          <w:rFonts w:cs="Times New Roman"/>
        </w:rPr>
        <w:t>施工中的安全措施、劳动保护、防火要求和环境保护措施等应符合国家现行有关标准的规定。</w:t>
      </w:r>
    </w:p>
    <w:p>
      <w:pPr>
        <w:snapToGrid w:val="0"/>
        <w:rPr>
          <w:rFonts w:cs="Times New Roman"/>
        </w:rPr>
      </w:pPr>
      <w:r>
        <w:rPr>
          <w:rStyle w:val="22"/>
          <w:rFonts w:ascii="Times New Roman" w:hAnsi="Times New Roman" w:cs="Times New Roman"/>
        </w:rPr>
        <w:t>5.1.5</w:t>
      </w:r>
      <w:r>
        <w:rPr>
          <w:rFonts w:cs="Times New Roman"/>
        </w:rPr>
        <w:t xml:space="preserve">  施工现场环境温度不应低于5℃。如需在低于5℃环境下施工时，应采取冬期施工措施。</w:t>
      </w:r>
    </w:p>
    <w:p>
      <w:pPr>
        <w:snapToGrid w:val="0"/>
        <w:rPr>
          <w:rFonts w:cs="Times New Roman"/>
        </w:rPr>
      </w:pPr>
      <w:r>
        <w:rPr>
          <w:rStyle w:val="22"/>
          <w:rFonts w:ascii="Times New Roman" w:hAnsi="Times New Roman" w:cs="Times New Roman"/>
        </w:rPr>
        <w:t>5.1.6</w:t>
      </w:r>
      <w:r>
        <w:rPr>
          <w:rFonts w:cs="Times New Roman"/>
        </w:rPr>
        <w:t xml:space="preserve">  装配式复合轻质墙体施工过程中应对各工序进行验收并保存验收记录，施工和验收记录应包括文字记录、照片或影像资料。</w:t>
      </w:r>
    </w:p>
    <w:p>
      <w:pPr>
        <w:snapToGrid w:val="0"/>
        <w:rPr>
          <w:rFonts w:cs="Times New Roman"/>
        </w:rPr>
      </w:pPr>
      <w:r>
        <w:rPr>
          <w:rStyle w:val="22"/>
          <w:rFonts w:ascii="Times New Roman" w:hAnsi="Times New Roman" w:cs="Times New Roman"/>
        </w:rPr>
        <w:t xml:space="preserve">5.1.7  </w:t>
      </w:r>
      <w:r>
        <w:rPr>
          <w:rFonts w:cs="Times New Roman"/>
        </w:rPr>
        <w:t>装配式复合轻质墙体施工流程：</w:t>
      </w:r>
    </w:p>
    <w:p>
      <w:pPr>
        <w:snapToGrid w:val="0"/>
        <w:ind w:firstLine="480" w:firstLineChars="200"/>
        <w:rPr>
          <w:rFonts w:cs="Times New Roman"/>
        </w:rPr>
      </w:pPr>
      <w:r>
        <w:rPr>
          <w:rFonts w:cs="Times New Roman"/>
        </w:rPr>
        <w:t>基层清理→测量放线→连接件安装→洞口构件安装→单侧墙面板安装→水电管线预埋→保温板安装→另一侧墙面板安装→底部防潮层浇筑→工具式模板安装→轻混凝土浇筑→拆除工具式模板。</w:t>
      </w:r>
    </w:p>
    <w:p>
      <w:pPr>
        <w:snapToGrid w:val="0"/>
        <w:rPr>
          <w:rFonts w:cs="Times New Roman"/>
        </w:rPr>
      </w:pPr>
      <w:r>
        <w:rPr>
          <w:rStyle w:val="22"/>
          <w:rFonts w:ascii="Times New Roman" w:hAnsi="Times New Roman" w:cs="Times New Roman"/>
        </w:rPr>
        <w:t>5.1.8</w:t>
      </w:r>
      <w:r>
        <w:rPr>
          <w:rFonts w:cs="Times New Roman"/>
        </w:rPr>
        <w:t xml:space="preserve">  连接件应严格按照定位线框设置。外围护墙和顶部悬空墙体底部，连接件采用射钉</w:t>
      </w:r>
      <w:r>
        <w:rPr>
          <w:rFonts w:hint="eastAsia" w:cs="Times New Roman"/>
        </w:rPr>
        <w:t>和螺栓</w:t>
      </w:r>
      <w:r>
        <w:rPr>
          <w:rFonts w:cs="Times New Roman"/>
        </w:rPr>
        <w:t>固定，其余部位采用射钉固定。</w:t>
      </w:r>
    </w:p>
    <w:p>
      <w:pPr>
        <w:pStyle w:val="4"/>
        <w:snapToGrid w:val="0"/>
        <w:spacing w:before="0" w:after="0" w:line="360" w:lineRule="auto"/>
        <w:rPr>
          <w:rFonts w:ascii="Times New Roman" w:hAnsi="Times New Roman" w:cs="Times New Roman"/>
        </w:rPr>
      </w:pPr>
      <w:bookmarkStart w:id="79" w:name="_Toc32498"/>
      <w:bookmarkStart w:id="80" w:name="_Toc10077"/>
      <w:bookmarkStart w:id="81" w:name="_Toc2701"/>
      <w:r>
        <w:rPr>
          <w:rFonts w:ascii="Times New Roman" w:hAnsi="Times New Roman" w:cs="Times New Roman"/>
        </w:rPr>
        <w:t>5.2  预制构件安装</w:t>
      </w:r>
      <w:bookmarkEnd w:id="79"/>
      <w:bookmarkEnd w:id="80"/>
      <w:bookmarkEnd w:id="81"/>
    </w:p>
    <w:p>
      <w:pPr>
        <w:snapToGrid w:val="0"/>
        <w:rPr>
          <w:rFonts w:cs="Times New Roman"/>
        </w:rPr>
      </w:pPr>
      <w:r>
        <w:rPr>
          <w:rStyle w:val="22"/>
          <w:rFonts w:ascii="Times New Roman" w:hAnsi="Times New Roman" w:cs="Times New Roman"/>
        </w:rPr>
        <w:t>5.</w:t>
      </w:r>
      <w:r>
        <w:rPr>
          <w:rStyle w:val="22"/>
          <w:rFonts w:hint="eastAsia" w:cs="Times New Roman"/>
        </w:rPr>
        <w:t>2</w:t>
      </w:r>
      <w:r>
        <w:rPr>
          <w:rStyle w:val="22"/>
          <w:rFonts w:ascii="Times New Roman" w:hAnsi="Times New Roman" w:cs="Times New Roman"/>
        </w:rPr>
        <w:t>.1</w:t>
      </w:r>
      <w:r>
        <w:rPr>
          <w:rFonts w:cs="Times New Roman"/>
        </w:rPr>
        <w:t>  墙面板、</w:t>
      </w:r>
      <w:r>
        <w:rPr>
          <w:rFonts w:hint="eastAsia" w:cs="Times New Roman"/>
        </w:rPr>
        <w:t>洞口板</w:t>
      </w:r>
      <w:r>
        <w:rPr>
          <w:rFonts w:cs="Times New Roman"/>
        </w:rPr>
        <w:t>、过梁板等预制构件的堆放、运输、二次搬运应符合下列规定：</w:t>
      </w:r>
    </w:p>
    <w:p>
      <w:pPr>
        <w:snapToGrid w:val="0"/>
        <w:ind w:firstLine="482" w:firstLineChars="200"/>
        <w:rPr>
          <w:rFonts w:cs="Times New Roman"/>
        </w:rPr>
      </w:pPr>
      <w:r>
        <w:rPr>
          <w:rFonts w:cs="Times New Roman"/>
          <w:b/>
          <w:bCs/>
        </w:rPr>
        <w:t xml:space="preserve">1  </w:t>
      </w:r>
      <w:r>
        <w:rPr>
          <w:rFonts w:cs="Times New Roman"/>
        </w:rPr>
        <w:t>场地应平整、坚实，并应采取良好的排水措施；</w:t>
      </w:r>
    </w:p>
    <w:p>
      <w:pPr>
        <w:tabs>
          <w:tab w:val="left" w:pos="2220"/>
        </w:tabs>
        <w:snapToGrid w:val="0"/>
        <w:ind w:firstLine="482" w:firstLineChars="200"/>
        <w:jc w:val="both"/>
        <w:rPr>
          <w:rFonts w:cs="Times New Roman"/>
        </w:rPr>
      </w:pPr>
      <w:r>
        <w:rPr>
          <w:rFonts w:cs="Times New Roman"/>
          <w:b/>
          <w:bCs/>
        </w:rPr>
        <w:t xml:space="preserve">2  </w:t>
      </w:r>
      <w:r>
        <w:rPr>
          <w:rFonts w:cs="Times New Roman"/>
        </w:rPr>
        <w:t>墙面板的打包、堆放、运输、二次搬运宜采用专用支架，竖向放置；</w:t>
      </w:r>
    </w:p>
    <w:p>
      <w:pPr>
        <w:snapToGrid w:val="0"/>
        <w:ind w:firstLine="482" w:firstLineChars="200"/>
        <w:rPr>
          <w:rFonts w:cs="Times New Roman"/>
        </w:rPr>
      </w:pPr>
      <w:r>
        <w:rPr>
          <w:rFonts w:cs="Times New Roman"/>
          <w:b/>
          <w:bCs/>
        </w:rPr>
        <w:t xml:space="preserve">3  </w:t>
      </w:r>
      <w:r>
        <w:rPr>
          <w:rFonts w:cs="Times New Roman"/>
        </w:rPr>
        <w:t>专用支架的堆放荷载应根据楼面施工荷载进行验算；</w:t>
      </w:r>
    </w:p>
    <w:p>
      <w:pPr>
        <w:tabs>
          <w:tab w:val="left" w:pos="2220"/>
        </w:tabs>
        <w:snapToGrid w:val="0"/>
        <w:ind w:firstLine="482" w:firstLineChars="200"/>
        <w:jc w:val="both"/>
        <w:rPr>
          <w:rFonts w:cs="Times New Roman"/>
        </w:rPr>
      </w:pPr>
      <w:r>
        <w:rPr>
          <w:rFonts w:cs="Times New Roman"/>
          <w:b/>
          <w:bCs/>
        </w:rPr>
        <w:t xml:space="preserve">4  </w:t>
      </w:r>
      <w:r>
        <w:rPr>
          <w:rFonts w:cs="Times New Roman"/>
        </w:rPr>
        <w:t>专用支架应确保墙面板在堆放、运输、二次搬运过程中不发生碰撞；</w:t>
      </w:r>
    </w:p>
    <w:p>
      <w:pPr>
        <w:snapToGrid w:val="0"/>
        <w:ind w:firstLine="482" w:firstLineChars="200"/>
        <w:rPr>
          <w:rFonts w:cs="Times New Roman"/>
        </w:rPr>
      </w:pPr>
      <w:r>
        <w:rPr>
          <w:rFonts w:cs="Times New Roman"/>
          <w:b/>
          <w:bCs/>
        </w:rPr>
        <w:t xml:space="preserve">5  </w:t>
      </w:r>
      <w:r>
        <w:rPr>
          <w:rFonts w:cs="Times New Roman"/>
        </w:rPr>
        <w:t>现场堆放的墙面板，宜按安装顺序分类堆放。 </w:t>
      </w:r>
    </w:p>
    <w:p>
      <w:pPr>
        <w:tabs>
          <w:tab w:val="left" w:pos="2220"/>
        </w:tabs>
        <w:snapToGrid w:val="0"/>
        <w:jc w:val="both"/>
        <w:rPr>
          <w:rFonts w:cs="Times New Roman"/>
        </w:rPr>
      </w:pPr>
      <w:r>
        <w:rPr>
          <w:rStyle w:val="22"/>
          <w:rFonts w:ascii="Times New Roman" w:hAnsi="Times New Roman" w:cs="Times New Roman"/>
        </w:rPr>
        <w:t>5.2.</w:t>
      </w:r>
      <w:r>
        <w:rPr>
          <w:rStyle w:val="22"/>
          <w:rFonts w:hint="eastAsia" w:ascii="Times New Roman" w:hAnsi="Times New Roman" w:cs="Times New Roman"/>
        </w:rPr>
        <w:t>2</w:t>
      </w:r>
      <w:r>
        <w:rPr>
          <w:rFonts w:cs="Times New Roman"/>
        </w:rPr>
        <w:t>  墙面板、</w:t>
      </w:r>
      <w:r>
        <w:rPr>
          <w:rFonts w:hint="eastAsia" w:cs="Times New Roman"/>
        </w:rPr>
        <w:t>洞口板</w:t>
      </w:r>
      <w:r>
        <w:rPr>
          <w:rFonts w:cs="Times New Roman"/>
        </w:rPr>
        <w:t>、过梁板等预制构件的安装应符合下列规定：</w:t>
      </w:r>
    </w:p>
    <w:p>
      <w:pPr>
        <w:snapToGrid w:val="0"/>
        <w:ind w:firstLine="481"/>
        <w:rPr>
          <w:rFonts w:cs="Times New Roman"/>
        </w:rPr>
      </w:pPr>
      <w:r>
        <w:rPr>
          <w:rFonts w:cs="Times New Roman"/>
          <w:b/>
          <w:bCs/>
        </w:rPr>
        <w:t>1</w:t>
      </w:r>
      <w:r>
        <w:rPr>
          <w:rFonts w:cs="Times New Roman"/>
        </w:rPr>
        <w:tab/>
      </w:r>
      <w:r>
        <w:rPr>
          <w:rFonts w:cs="Times New Roman"/>
        </w:rPr>
        <w:t>应按照设计深化图正确选用相应规格尺寸的墙面板，在规定的位置进行安装，构件就位后，可将构件垂直向上，顶紧梁、板底部安装</w:t>
      </w:r>
      <w:r>
        <w:rPr>
          <w:rFonts w:hint="eastAsia" w:cs="Times New Roman"/>
        </w:rPr>
        <w:t>。</w:t>
      </w:r>
    </w:p>
    <w:p>
      <w:pPr>
        <w:snapToGrid w:val="0"/>
        <w:ind w:firstLine="481"/>
        <w:rPr>
          <w:rFonts w:cs="Times New Roman"/>
        </w:rPr>
      </w:pPr>
      <w:r>
        <w:rPr>
          <w:rFonts w:cs="Times New Roman"/>
          <w:b/>
          <w:bCs/>
        </w:rPr>
        <w:t>2</w:t>
      </w:r>
      <w:r>
        <w:rPr>
          <w:rFonts w:cs="Times New Roman"/>
        </w:rPr>
        <w:t xml:space="preserve">  墙面板应从主体结构墙、柱一侧向另一侧顺序安装；当墙中有门洞口时，</w:t>
      </w:r>
      <w:r>
        <w:rPr>
          <w:rFonts w:hint="eastAsia"/>
        </w:rPr>
        <w:t>有洞口时，应先安装洞口板和过梁板，</w:t>
      </w:r>
      <w:r>
        <w:rPr>
          <w:rFonts w:cs="Times New Roman"/>
        </w:rPr>
        <w:t>从门洞口向两侧顺序安装</w:t>
      </w:r>
      <w:r>
        <w:rPr>
          <w:rFonts w:hint="eastAsia" w:cs="Times New Roman"/>
        </w:rPr>
        <w:t>。</w:t>
      </w:r>
    </w:p>
    <w:p>
      <w:pPr>
        <w:snapToGrid w:val="0"/>
        <w:ind w:firstLine="481"/>
        <w:rPr>
          <w:rFonts w:cs="Times New Roman"/>
        </w:rPr>
      </w:pPr>
      <w:r>
        <w:rPr>
          <w:rFonts w:cs="Times New Roman"/>
          <w:b/>
          <w:bCs/>
        </w:rPr>
        <w:t>3</w:t>
      </w:r>
      <w:r>
        <w:rPr>
          <w:rFonts w:cs="Times New Roman"/>
        </w:rPr>
        <w:tab/>
      </w:r>
      <w:r>
        <w:rPr>
          <w:rFonts w:cs="Times New Roman"/>
        </w:rPr>
        <w:t>同侧墙面板之间净距不应大于100mm。</w:t>
      </w:r>
    </w:p>
    <w:p>
      <w:pPr>
        <w:tabs>
          <w:tab w:val="left" w:pos="2220"/>
        </w:tabs>
        <w:snapToGrid w:val="0"/>
        <w:jc w:val="both"/>
        <w:rPr>
          <w:rFonts w:cs="Times New Roman"/>
        </w:rPr>
      </w:pPr>
      <w:r>
        <w:rPr>
          <w:rStyle w:val="22"/>
          <w:rFonts w:ascii="Times New Roman" w:hAnsi="Times New Roman" w:cs="Times New Roman"/>
        </w:rPr>
        <w:t>5.2.</w:t>
      </w:r>
      <w:r>
        <w:rPr>
          <w:rStyle w:val="22"/>
          <w:rFonts w:hint="eastAsia" w:ascii="Times New Roman" w:hAnsi="Times New Roman" w:cs="Times New Roman"/>
        </w:rPr>
        <w:t>3</w:t>
      </w:r>
      <w:r>
        <w:rPr>
          <w:rFonts w:cs="Times New Roman"/>
        </w:rPr>
        <w:t>  安装好单侧墙面板后，按本标准第5.3节要求安装管线和保温板，隐蔽验收合格后再安装另一侧墙面板。</w:t>
      </w:r>
    </w:p>
    <w:p>
      <w:pPr>
        <w:tabs>
          <w:tab w:val="left" w:pos="2220"/>
        </w:tabs>
        <w:snapToGrid w:val="0"/>
        <w:jc w:val="both"/>
        <w:rPr>
          <w:rFonts w:cs="Times New Roman"/>
        </w:rPr>
      </w:pPr>
      <w:r>
        <w:rPr>
          <w:rStyle w:val="22"/>
          <w:rFonts w:ascii="Times New Roman" w:hAnsi="Times New Roman" w:cs="Times New Roman"/>
        </w:rPr>
        <w:t>5.2.</w:t>
      </w:r>
      <w:r>
        <w:rPr>
          <w:rStyle w:val="22"/>
          <w:rFonts w:hint="eastAsia" w:ascii="Times New Roman" w:hAnsi="Times New Roman" w:cs="Times New Roman"/>
        </w:rPr>
        <w:t>4</w:t>
      </w:r>
      <w:r>
        <w:rPr>
          <w:rFonts w:cs="Times New Roman"/>
        </w:rPr>
        <w:t>  墙体两侧墙面板间</w:t>
      </w:r>
      <w:r>
        <w:rPr>
          <w:rFonts w:hint="eastAsia"/>
        </w:rPr>
        <w:t>、墙面板与洞口板间</w:t>
      </w:r>
      <w:r>
        <w:rPr>
          <w:rFonts w:cs="Times New Roman"/>
        </w:rPr>
        <w:t>应通过连接件等措施加强固定。</w:t>
      </w:r>
    </w:p>
    <w:p>
      <w:pPr>
        <w:pStyle w:val="4"/>
        <w:snapToGrid w:val="0"/>
        <w:spacing w:before="0" w:after="0" w:line="360" w:lineRule="auto"/>
        <w:rPr>
          <w:rFonts w:ascii="Times New Roman" w:hAnsi="Times New Roman" w:cs="Times New Roman"/>
        </w:rPr>
      </w:pPr>
      <w:bookmarkStart w:id="82" w:name="_Toc11535"/>
      <w:bookmarkStart w:id="83" w:name="_Toc10013"/>
      <w:bookmarkStart w:id="84" w:name="_Toc23358"/>
      <w:r>
        <w:rPr>
          <w:rFonts w:ascii="Times New Roman" w:hAnsi="Times New Roman" w:cs="Times New Roman"/>
        </w:rPr>
        <w:t>5.3  管线和保温</w:t>
      </w:r>
      <w:r>
        <w:rPr>
          <w:rFonts w:hint="eastAsia" w:ascii="Times New Roman" w:hAnsi="Times New Roman" w:cs="Times New Roman"/>
        </w:rPr>
        <w:t>板</w:t>
      </w:r>
      <w:r>
        <w:rPr>
          <w:rFonts w:ascii="Times New Roman" w:hAnsi="Times New Roman" w:cs="Times New Roman"/>
        </w:rPr>
        <w:t>安装</w:t>
      </w:r>
      <w:bookmarkEnd w:id="82"/>
      <w:bookmarkEnd w:id="83"/>
      <w:bookmarkEnd w:id="84"/>
    </w:p>
    <w:p>
      <w:pPr>
        <w:tabs>
          <w:tab w:val="left" w:pos="2220"/>
        </w:tabs>
        <w:snapToGrid w:val="0"/>
        <w:jc w:val="both"/>
        <w:rPr>
          <w:rFonts w:cs="Times New Roman"/>
        </w:rPr>
      </w:pPr>
      <w:r>
        <w:rPr>
          <w:rStyle w:val="22"/>
          <w:rFonts w:ascii="Times New Roman" w:hAnsi="Times New Roman" w:cs="Times New Roman"/>
        </w:rPr>
        <w:t>5.3.1</w:t>
      </w:r>
      <w:r>
        <w:rPr>
          <w:rFonts w:cs="Times New Roman"/>
        </w:rPr>
        <w:t>  管线、保温板的安装应在安装好一侧墙面板后进行。</w:t>
      </w:r>
    </w:p>
    <w:p>
      <w:pPr>
        <w:tabs>
          <w:tab w:val="left" w:pos="2220"/>
        </w:tabs>
        <w:snapToGrid w:val="0"/>
        <w:jc w:val="both"/>
        <w:rPr>
          <w:rFonts w:cs="Times New Roman"/>
        </w:rPr>
      </w:pPr>
      <w:r>
        <w:rPr>
          <w:rStyle w:val="22"/>
          <w:rFonts w:ascii="Times New Roman" w:hAnsi="Times New Roman" w:cs="Times New Roman"/>
        </w:rPr>
        <w:t>5.3.2</w:t>
      </w:r>
      <w:r>
        <w:rPr>
          <w:rFonts w:cs="Times New Roman"/>
        </w:rPr>
        <w:t>  开关盒、插座、配电箱等安装时对应的墙面板，</w:t>
      </w:r>
      <w:r>
        <w:rPr>
          <w:rFonts w:hint="eastAsia" w:cs="Times New Roman"/>
        </w:rPr>
        <w:t>宜</w:t>
      </w:r>
      <w:r>
        <w:rPr>
          <w:rFonts w:cs="Times New Roman"/>
        </w:rPr>
        <w:t>在工厂预留孔洞，并使用配套底座。</w:t>
      </w:r>
    </w:p>
    <w:p>
      <w:pPr>
        <w:tabs>
          <w:tab w:val="left" w:pos="2220"/>
        </w:tabs>
        <w:snapToGrid w:val="0"/>
        <w:jc w:val="both"/>
        <w:rPr>
          <w:rFonts w:cs="Times New Roman"/>
        </w:rPr>
      </w:pPr>
      <w:r>
        <w:rPr>
          <w:rStyle w:val="22"/>
          <w:rFonts w:ascii="Times New Roman" w:hAnsi="Times New Roman" w:cs="Times New Roman"/>
        </w:rPr>
        <w:t>5.3.3</w:t>
      </w:r>
      <w:r>
        <w:rPr>
          <w:rFonts w:cs="Times New Roman"/>
        </w:rPr>
        <w:t>  管线安装完成且隐蔽验收合格后，保温板应根据设计要求采用紧贴墙面板、水平方向不连续排版方式（图</w:t>
      </w:r>
      <w:r>
        <w:rPr>
          <w:rFonts w:hint="eastAsia" w:cs="Times New Roman"/>
        </w:rPr>
        <w:t>5.3.3（a）</w:t>
      </w:r>
      <w:r>
        <w:rPr>
          <w:rFonts w:cs="Times New Roman"/>
        </w:rPr>
        <w:t>）或不紧贴墙面板、水平方向连续排版的方式（图</w:t>
      </w:r>
      <w:r>
        <w:rPr>
          <w:rFonts w:hint="eastAsia" w:cs="Times New Roman"/>
        </w:rPr>
        <w:t>5.3.3（b）</w:t>
      </w:r>
      <w:r>
        <w:rPr>
          <w:rFonts w:cs="Times New Roman"/>
        </w:rPr>
        <w:t>）</w:t>
      </w:r>
      <w:r>
        <w:rPr>
          <w:rFonts w:hint="eastAsia" w:cs="Times New Roman"/>
        </w:rPr>
        <w:t>安装</w:t>
      </w:r>
      <w:r>
        <w:rPr>
          <w:rFonts w:cs="Times New Roman"/>
        </w:rPr>
        <w:t>保温板。</w:t>
      </w:r>
    </w:p>
    <w:p>
      <w:pPr>
        <w:tabs>
          <w:tab w:val="left" w:pos="2220"/>
        </w:tabs>
        <w:snapToGrid w:val="0"/>
        <w:jc w:val="center"/>
        <w:rPr>
          <w:rFonts w:cs="Times New Roman"/>
        </w:rPr>
      </w:pPr>
      <w:r>
        <w:rPr>
          <w:rFonts w:hint="eastAsia"/>
        </w:rPr>
        <w:drawing>
          <wp:inline distT="0" distB="0" distL="114300" distR="114300">
            <wp:extent cx="2508250" cy="1979930"/>
            <wp:effectExtent l="0" t="0" r="6350" b="1270"/>
            <wp:docPr id="4" name="图片 4" descr="F:/2023/标准/征求意见稿0108/1.5/QQ截图20240130141359.jpgQQ截图2024013014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023/标准/征求意见稿0108/1.5/QQ截图20240130141359.jpgQQ截图20240130141359"/>
                    <pic:cNvPicPr>
                      <a:picLocks noChangeAspect="1"/>
                    </pic:cNvPicPr>
                  </pic:nvPicPr>
                  <pic:blipFill>
                    <a:blip r:embed="rId27"/>
                    <a:srcRect l="312" r="312"/>
                    <a:stretch>
                      <a:fillRect/>
                    </a:stretch>
                  </pic:blipFill>
                  <pic:spPr>
                    <a:xfrm>
                      <a:off x="0" y="0"/>
                      <a:ext cx="2508250" cy="1979930"/>
                    </a:xfrm>
                    <a:prstGeom prst="rect">
                      <a:avLst/>
                    </a:prstGeom>
                  </pic:spPr>
                </pic:pic>
              </a:graphicData>
            </a:graphic>
          </wp:inline>
        </w:drawing>
      </w:r>
      <w:r>
        <w:rPr>
          <w:rFonts w:hint="eastAsia"/>
        </w:rPr>
        <w:t xml:space="preserve"> </w:t>
      </w:r>
      <w:r>
        <w:rPr>
          <w:rFonts w:hint="eastAsia"/>
        </w:rPr>
        <w:drawing>
          <wp:inline distT="0" distB="0" distL="114300" distR="114300">
            <wp:extent cx="2514600" cy="1979930"/>
            <wp:effectExtent l="0" t="0" r="0" b="1270"/>
            <wp:docPr id="5" name="图片 5" descr="F:/2023/标准/征求意见稿0108/1.5/QQ截图20240130141411.jpgQQ截图2024013014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2023/标准/征求意见稿0108/1.5/QQ截图20240130141411.jpgQQ截图20240130141411"/>
                    <pic:cNvPicPr>
                      <a:picLocks noChangeAspect="1"/>
                    </pic:cNvPicPr>
                  </pic:nvPicPr>
                  <pic:blipFill>
                    <a:blip r:embed="rId28"/>
                    <a:srcRect t="268" b="268"/>
                    <a:stretch>
                      <a:fillRect/>
                    </a:stretch>
                  </pic:blipFill>
                  <pic:spPr>
                    <a:xfrm>
                      <a:off x="0" y="0"/>
                      <a:ext cx="2514600" cy="1979930"/>
                    </a:xfrm>
                    <a:prstGeom prst="rect">
                      <a:avLst/>
                    </a:prstGeom>
                  </pic:spPr>
                </pic:pic>
              </a:graphicData>
            </a:graphic>
          </wp:inline>
        </w:drawing>
      </w:r>
    </w:p>
    <w:p>
      <w:pPr>
        <w:tabs>
          <w:tab w:val="left" w:pos="2220"/>
        </w:tabs>
        <w:snapToGrid w:val="0"/>
        <w:ind w:firstLine="632" w:firstLineChars="300"/>
        <w:jc w:val="both"/>
        <w:rPr>
          <w:rFonts w:cs="Times New Roman"/>
          <w:b/>
          <w:bCs/>
          <w:sz w:val="21"/>
          <w:szCs w:val="21"/>
        </w:rPr>
      </w:pPr>
      <w:r>
        <w:rPr>
          <w:rFonts w:hint="eastAsia" w:cs="Times New Roman"/>
          <w:b/>
          <w:bCs/>
          <w:sz w:val="21"/>
          <w:szCs w:val="21"/>
        </w:rPr>
        <w:t>（a）</w:t>
      </w:r>
      <w:r>
        <w:rPr>
          <w:rFonts w:cs="Times New Roman"/>
          <w:b/>
          <w:bCs/>
          <w:sz w:val="21"/>
          <w:szCs w:val="21"/>
        </w:rPr>
        <w:t>紧贴面板、水平不连续排版</w:t>
      </w:r>
      <w:r>
        <w:rPr>
          <w:rFonts w:hint="eastAsia" w:cs="Times New Roman"/>
          <w:b/>
          <w:bCs/>
          <w:sz w:val="21"/>
          <w:szCs w:val="21"/>
        </w:rPr>
        <w:t xml:space="preserve">         （b）不</w:t>
      </w:r>
      <w:r>
        <w:rPr>
          <w:rFonts w:cs="Times New Roman"/>
          <w:b/>
          <w:bCs/>
          <w:sz w:val="21"/>
          <w:szCs w:val="21"/>
        </w:rPr>
        <w:t>紧贴面板、水平连续排版</w:t>
      </w:r>
    </w:p>
    <w:p>
      <w:pPr>
        <w:jc w:val="center"/>
        <w:rPr>
          <w:rFonts w:cs="宋体"/>
          <w:b/>
          <w:bCs/>
          <w:sz w:val="21"/>
          <w:szCs w:val="21"/>
        </w:rPr>
      </w:pPr>
      <w:r>
        <w:rPr>
          <w:rFonts w:hint="eastAsia" w:cs="宋体"/>
          <w:b/>
          <w:bCs/>
          <w:sz w:val="21"/>
          <w:szCs w:val="21"/>
        </w:rPr>
        <w:t>图5.3.3  保温隔热材料安装排版</w:t>
      </w:r>
    </w:p>
    <w:p>
      <w:pPr>
        <w:jc w:val="center"/>
        <w:rPr>
          <w:rFonts w:cs="宋体"/>
          <w:sz w:val="18"/>
          <w:szCs w:val="18"/>
        </w:rPr>
      </w:pPr>
      <w:r>
        <w:rPr>
          <w:rFonts w:hint="eastAsia" w:cs="宋体"/>
          <w:sz w:val="18"/>
          <w:szCs w:val="18"/>
        </w:rPr>
        <w:t>1-墙面板；2-连接件；3-自攻螺钉；4-保温隔热材料；5-预留水平注浆仓；6-预留竖向注浆仓</w:t>
      </w:r>
    </w:p>
    <w:p>
      <w:pPr>
        <w:tabs>
          <w:tab w:val="left" w:pos="2220"/>
        </w:tabs>
        <w:snapToGrid w:val="0"/>
        <w:jc w:val="both"/>
        <w:rPr>
          <w:rFonts w:cs="Times New Roman"/>
        </w:rPr>
      </w:pPr>
      <w:r>
        <w:rPr>
          <w:rStyle w:val="22"/>
          <w:rFonts w:ascii="Times New Roman" w:hAnsi="Times New Roman" w:cs="Times New Roman"/>
        </w:rPr>
        <w:t>5.3.</w:t>
      </w:r>
      <w:r>
        <w:rPr>
          <w:rStyle w:val="22"/>
          <w:rFonts w:hint="eastAsia" w:ascii="Times New Roman" w:hAnsi="Times New Roman" w:cs="Times New Roman"/>
        </w:rPr>
        <w:t>4</w:t>
      </w:r>
      <w:r>
        <w:rPr>
          <w:rFonts w:cs="Times New Roman"/>
        </w:rPr>
        <w:t>  保温板紧贴面板时，粘接剂可采用专用粘接剂或水泥砂浆，采用点粘法粘接牢固。安装时应注意各个注浆仓通道应均匀一致。有管线的位置应在保温板上切割出相应的空间。</w:t>
      </w:r>
    </w:p>
    <w:p>
      <w:pPr>
        <w:pStyle w:val="4"/>
        <w:snapToGrid w:val="0"/>
        <w:spacing w:before="0" w:after="0" w:line="360" w:lineRule="auto"/>
        <w:rPr>
          <w:rFonts w:ascii="Times New Roman" w:hAnsi="Times New Roman" w:cs="Times New Roman"/>
        </w:rPr>
      </w:pPr>
      <w:bookmarkStart w:id="85" w:name="_Toc12148"/>
      <w:bookmarkStart w:id="86" w:name="_Toc26824"/>
      <w:bookmarkStart w:id="87" w:name="_Toc8395"/>
      <w:r>
        <w:rPr>
          <w:rFonts w:ascii="Times New Roman" w:hAnsi="Times New Roman" w:cs="Times New Roman"/>
        </w:rPr>
        <w:t>5.4  工具式模板安装</w:t>
      </w:r>
      <w:bookmarkEnd w:id="85"/>
      <w:bookmarkEnd w:id="86"/>
      <w:bookmarkEnd w:id="87"/>
    </w:p>
    <w:p>
      <w:pPr>
        <w:tabs>
          <w:tab w:val="left" w:pos="2220"/>
        </w:tabs>
        <w:snapToGrid w:val="0"/>
        <w:jc w:val="both"/>
        <w:rPr>
          <w:rFonts w:cs="Times New Roman"/>
        </w:rPr>
      </w:pPr>
      <w:r>
        <w:rPr>
          <w:rStyle w:val="22"/>
          <w:rFonts w:ascii="Times New Roman" w:hAnsi="Times New Roman" w:cs="Times New Roman"/>
        </w:rPr>
        <w:t>5.4.1</w:t>
      </w:r>
      <w:r>
        <w:rPr>
          <w:rFonts w:cs="Times New Roman"/>
        </w:rPr>
        <w:t>  工具式模板安装前应先进行墙体防潮层浇筑。</w:t>
      </w:r>
    </w:p>
    <w:p>
      <w:pPr>
        <w:tabs>
          <w:tab w:val="left" w:pos="2220"/>
        </w:tabs>
        <w:snapToGrid w:val="0"/>
        <w:jc w:val="both"/>
        <w:rPr>
          <w:rFonts w:cs="Times New Roman"/>
        </w:rPr>
      </w:pPr>
      <w:r>
        <w:rPr>
          <w:rStyle w:val="22"/>
          <w:rFonts w:ascii="Times New Roman" w:hAnsi="Times New Roman" w:cs="Times New Roman"/>
        </w:rPr>
        <w:t>5.4.2</w:t>
      </w:r>
      <w:r>
        <w:rPr>
          <w:rFonts w:cs="Times New Roman"/>
        </w:rPr>
        <w:t>  工具式模板安装应符合下列规定：</w:t>
      </w:r>
    </w:p>
    <w:p>
      <w:pPr>
        <w:snapToGrid w:val="0"/>
        <w:ind w:firstLine="481"/>
      </w:pPr>
      <w:r>
        <w:rPr>
          <w:rFonts w:hint="eastAsia"/>
          <w:b/>
          <w:bCs/>
        </w:rPr>
        <w:t xml:space="preserve">1  </w:t>
      </w:r>
      <w:r>
        <w:rPr>
          <w:rFonts w:hint="eastAsia"/>
        </w:rPr>
        <w:t>模板应安装在墙体两侧，墙面板间隙处。</w:t>
      </w:r>
    </w:p>
    <w:p>
      <w:pPr>
        <w:snapToGrid w:val="0"/>
        <w:ind w:firstLine="481"/>
      </w:pPr>
      <w:r>
        <w:rPr>
          <w:rFonts w:hint="eastAsia"/>
          <w:b/>
          <w:bCs/>
        </w:rPr>
        <w:t xml:space="preserve">2  </w:t>
      </w:r>
      <w:r>
        <w:rPr>
          <w:rFonts w:hint="eastAsia"/>
        </w:rPr>
        <w:t>安装时模板应</w:t>
      </w:r>
      <w:r>
        <w:rPr>
          <w:rFonts w:ascii="宋体" w:hAnsi="宋体" w:cs="宋体"/>
        </w:rPr>
        <w:t>垂直向上顶紧梁、板底部</w:t>
      </w:r>
      <w:r>
        <w:rPr>
          <w:rFonts w:hint="eastAsia"/>
        </w:rPr>
        <w:t>。</w:t>
      </w:r>
    </w:p>
    <w:p>
      <w:pPr>
        <w:tabs>
          <w:tab w:val="left" w:pos="2220"/>
        </w:tabs>
        <w:snapToGrid w:val="0"/>
        <w:ind w:firstLine="482" w:firstLineChars="200"/>
        <w:jc w:val="both"/>
        <w:rPr>
          <w:b/>
          <w:bCs/>
        </w:rPr>
      </w:pPr>
      <w:r>
        <w:rPr>
          <w:rFonts w:hint="eastAsia"/>
          <w:b/>
          <w:bCs/>
        </w:rPr>
        <w:t xml:space="preserve">3  </w:t>
      </w:r>
      <w:r>
        <w:rPr>
          <w:rFonts w:hint="eastAsia"/>
        </w:rPr>
        <w:t>墙体两侧模板就位后</w:t>
      </w:r>
      <w:r>
        <w:rPr>
          <w:rFonts w:hint="eastAsia"/>
          <w:b/>
          <w:bCs/>
        </w:rPr>
        <w:t>，</w:t>
      </w:r>
      <w:r>
        <w:rPr>
          <w:rFonts w:hint="eastAsia"/>
        </w:rPr>
        <w:t>使用螺杆固定。</w:t>
      </w:r>
    </w:p>
    <w:p>
      <w:pPr>
        <w:tabs>
          <w:tab w:val="left" w:pos="2220"/>
        </w:tabs>
        <w:snapToGrid w:val="0"/>
        <w:ind w:firstLine="482" w:firstLineChars="200"/>
        <w:jc w:val="both"/>
      </w:pPr>
      <w:r>
        <w:rPr>
          <w:rFonts w:hint="eastAsia"/>
          <w:b/>
          <w:bCs/>
        </w:rPr>
        <w:t xml:space="preserve">4  </w:t>
      </w:r>
      <w:r>
        <w:rPr>
          <w:rFonts w:hint="eastAsia"/>
        </w:rPr>
        <w:t>模板与墙面板的接触面，应采取堵漏措施。</w:t>
      </w:r>
    </w:p>
    <w:p>
      <w:pPr>
        <w:tabs>
          <w:tab w:val="left" w:pos="2220"/>
        </w:tabs>
        <w:snapToGrid w:val="0"/>
        <w:jc w:val="both"/>
        <w:rPr>
          <w:rFonts w:cs="Times New Roman"/>
        </w:rPr>
      </w:pPr>
      <w:r>
        <w:rPr>
          <w:rStyle w:val="22"/>
          <w:rFonts w:ascii="Times New Roman" w:hAnsi="Times New Roman" w:cs="Times New Roman"/>
        </w:rPr>
        <w:t>5.4.3</w:t>
      </w:r>
      <w:r>
        <w:rPr>
          <w:rFonts w:cs="Times New Roman"/>
        </w:rPr>
        <w:t>  工具式模板安装完成后，应对墙体四周缝隙进行堵漏处理。</w:t>
      </w:r>
    </w:p>
    <w:p>
      <w:pPr>
        <w:pStyle w:val="4"/>
        <w:snapToGrid w:val="0"/>
        <w:spacing w:before="0" w:after="0" w:line="360" w:lineRule="auto"/>
        <w:rPr>
          <w:rFonts w:ascii="Times New Roman" w:hAnsi="Times New Roman" w:cs="Times New Roman"/>
        </w:rPr>
      </w:pPr>
      <w:bookmarkStart w:id="88" w:name="_Toc8638"/>
      <w:bookmarkStart w:id="89" w:name="_Toc29618"/>
      <w:bookmarkStart w:id="90" w:name="_Toc29944"/>
      <w:r>
        <w:rPr>
          <w:rFonts w:ascii="Times New Roman" w:hAnsi="Times New Roman" w:cs="Times New Roman"/>
        </w:rPr>
        <w:t>5.5  </w:t>
      </w:r>
      <w:r>
        <w:rPr>
          <w:rFonts w:hint="eastAsia" w:ascii="Times New Roman" w:hAnsi="Times New Roman" w:cs="Times New Roman"/>
        </w:rPr>
        <w:t>注仓</w:t>
      </w:r>
      <w:r>
        <w:rPr>
          <w:rFonts w:ascii="Times New Roman" w:hAnsi="Times New Roman" w:cs="Times New Roman"/>
        </w:rPr>
        <w:t>料施工</w:t>
      </w:r>
      <w:bookmarkEnd w:id="88"/>
      <w:bookmarkEnd w:id="89"/>
      <w:bookmarkEnd w:id="90"/>
    </w:p>
    <w:p>
      <w:pPr>
        <w:tabs>
          <w:tab w:val="left" w:pos="2220"/>
        </w:tabs>
        <w:snapToGrid w:val="0"/>
        <w:jc w:val="both"/>
        <w:rPr>
          <w:rFonts w:cs="Times New Roman"/>
        </w:rPr>
      </w:pPr>
      <w:r>
        <w:rPr>
          <w:rStyle w:val="22"/>
          <w:rFonts w:ascii="Times New Roman" w:hAnsi="Times New Roman" w:cs="Times New Roman"/>
        </w:rPr>
        <w:t>5.5.</w:t>
      </w:r>
      <w:r>
        <w:rPr>
          <w:rStyle w:val="22"/>
          <w:rFonts w:hint="eastAsia" w:ascii="Times New Roman" w:hAnsi="Times New Roman" w:cs="Times New Roman"/>
        </w:rPr>
        <w:t>1</w:t>
      </w:r>
      <w:r>
        <w:rPr>
          <w:rFonts w:cs="Times New Roman"/>
        </w:rPr>
        <w:t>  </w:t>
      </w:r>
      <w:r>
        <w:rPr>
          <w:rFonts w:hint="eastAsia" w:cs="Times New Roman"/>
        </w:rPr>
        <w:t>注仓</w:t>
      </w:r>
      <w:r>
        <w:rPr>
          <w:rFonts w:cs="Times New Roman"/>
        </w:rPr>
        <w:t>料</w:t>
      </w:r>
      <w:r>
        <w:rPr>
          <w:rFonts w:hint="eastAsia" w:cs="Times New Roman"/>
        </w:rPr>
        <w:t>的</w:t>
      </w:r>
      <w:r>
        <w:rPr>
          <w:rFonts w:cs="Times New Roman"/>
        </w:rPr>
        <w:t>原材料运输、储存和使用时应采取防尘降尘措施。</w:t>
      </w:r>
    </w:p>
    <w:p>
      <w:pPr>
        <w:tabs>
          <w:tab w:val="left" w:pos="2220"/>
        </w:tabs>
        <w:snapToGrid w:val="0"/>
        <w:jc w:val="both"/>
        <w:rPr>
          <w:rFonts w:cs="Times New Roman"/>
        </w:rPr>
      </w:pPr>
      <w:r>
        <w:rPr>
          <w:rStyle w:val="22"/>
          <w:rFonts w:ascii="Times New Roman" w:hAnsi="Times New Roman" w:cs="Times New Roman"/>
        </w:rPr>
        <w:t>5.5.</w:t>
      </w:r>
      <w:r>
        <w:rPr>
          <w:rStyle w:val="22"/>
          <w:rFonts w:hint="eastAsia" w:ascii="Times New Roman" w:hAnsi="Times New Roman" w:cs="Times New Roman"/>
        </w:rPr>
        <w:t>2</w:t>
      </w:r>
      <w:r>
        <w:rPr>
          <w:rStyle w:val="22"/>
          <w:rFonts w:ascii="Times New Roman" w:hAnsi="Times New Roman" w:cs="Times New Roman"/>
        </w:rPr>
        <w:t xml:space="preserve"> </w:t>
      </w:r>
      <w:r>
        <w:rPr>
          <w:rFonts w:cs="Times New Roman"/>
        </w:rPr>
        <w:t> 施工前应根据设计要求进行</w:t>
      </w:r>
      <w:r>
        <w:rPr>
          <w:rFonts w:hint="eastAsia" w:cs="Times New Roman"/>
        </w:rPr>
        <w:t>注仓料</w:t>
      </w:r>
      <w:r>
        <w:rPr>
          <w:rFonts w:cs="Times New Roman"/>
        </w:rPr>
        <w:t>配合比设计，并通过试验确定轻混凝土的浆体密度、表观密度、扩展度、初凝时间及强度。</w:t>
      </w:r>
    </w:p>
    <w:p>
      <w:pPr>
        <w:tabs>
          <w:tab w:val="left" w:pos="2220"/>
        </w:tabs>
        <w:snapToGrid w:val="0"/>
        <w:jc w:val="both"/>
        <w:rPr>
          <w:rFonts w:cs="Times New Roman"/>
        </w:rPr>
      </w:pPr>
      <w:r>
        <w:rPr>
          <w:rStyle w:val="22"/>
          <w:rFonts w:ascii="Times New Roman" w:hAnsi="Times New Roman" w:cs="Times New Roman"/>
        </w:rPr>
        <w:t xml:space="preserve">5.5.3 </w:t>
      </w:r>
      <w:r>
        <w:rPr>
          <w:rFonts w:cs="Times New Roman"/>
        </w:rPr>
        <w:t> </w:t>
      </w:r>
      <w:r>
        <w:rPr>
          <w:rFonts w:hint="eastAsia"/>
        </w:rPr>
        <w:t>注仓料搅拌时，原料全部投入后的搅拌时间不宜少于3min。</w:t>
      </w:r>
    </w:p>
    <w:p>
      <w:pPr>
        <w:tabs>
          <w:tab w:val="left" w:pos="2220"/>
        </w:tabs>
        <w:snapToGrid w:val="0"/>
        <w:jc w:val="both"/>
        <w:rPr>
          <w:rFonts w:cs="Times New Roman"/>
        </w:rPr>
      </w:pPr>
      <w:r>
        <w:rPr>
          <w:rStyle w:val="22"/>
          <w:rFonts w:ascii="Times New Roman" w:hAnsi="Times New Roman" w:cs="Times New Roman"/>
        </w:rPr>
        <w:t xml:space="preserve">5.5.4 </w:t>
      </w:r>
      <w:r>
        <w:rPr>
          <w:rFonts w:cs="Times New Roman"/>
        </w:rPr>
        <w:t>注仓料稠度应满足施工要求，注仓料拌和物的扩展度宜控制在350mm~ 400mm。</w:t>
      </w:r>
    </w:p>
    <w:p>
      <w:pPr>
        <w:tabs>
          <w:tab w:val="left" w:pos="2220"/>
        </w:tabs>
        <w:snapToGrid w:val="0"/>
        <w:jc w:val="both"/>
        <w:rPr>
          <w:rFonts w:cs="Times New Roman"/>
        </w:rPr>
      </w:pPr>
      <w:r>
        <w:rPr>
          <w:rStyle w:val="22"/>
          <w:rFonts w:ascii="Times New Roman" w:hAnsi="Times New Roman" w:cs="Times New Roman"/>
        </w:rPr>
        <w:t xml:space="preserve">5.5.5 </w:t>
      </w:r>
      <w:r>
        <w:rPr>
          <w:rFonts w:cs="Times New Roman"/>
        </w:rPr>
        <w:t> 注仓料浇筑应符合下列规定：</w:t>
      </w:r>
    </w:p>
    <w:p>
      <w:pPr>
        <w:tabs>
          <w:tab w:val="left" w:pos="2220"/>
        </w:tabs>
        <w:snapToGrid w:val="0"/>
        <w:ind w:firstLine="482" w:firstLineChars="200"/>
        <w:jc w:val="both"/>
        <w:rPr>
          <w:rFonts w:cs="Times New Roman"/>
        </w:rPr>
      </w:pPr>
      <w:r>
        <w:rPr>
          <w:rFonts w:cs="Times New Roman"/>
          <w:b/>
          <w:bCs/>
        </w:rPr>
        <w:t xml:space="preserve">1  </w:t>
      </w:r>
      <w:r>
        <w:rPr>
          <w:rFonts w:cs="Times New Roman"/>
        </w:rPr>
        <w:t>注仓料输送应采用专用泵送设备，泵送设备宜采用砂浆挤压泵，并应满足输送高度和距离的要求。</w:t>
      </w:r>
    </w:p>
    <w:p>
      <w:pPr>
        <w:tabs>
          <w:tab w:val="left" w:pos="2220"/>
        </w:tabs>
        <w:snapToGrid w:val="0"/>
        <w:ind w:firstLine="482" w:firstLineChars="200"/>
        <w:jc w:val="both"/>
        <w:rPr>
          <w:rFonts w:cs="Times New Roman"/>
        </w:rPr>
      </w:pPr>
      <w:r>
        <w:rPr>
          <w:rFonts w:cs="Times New Roman"/>
          <w:b/>
          <w:bCs/>
        </w:rPr>
        <w:t xml:space="preserve">2  </w:t>
      </w:r>
      <w:r>
        <w:rPr>
          <w:rFonts w:cs="Times New Roman"/>
        </w:rPr>
        <w:t>浇筑时不应机械振捣，宜采用</w:t>
      </w:r>
      <w:r>
        <w:rPr>
          <w:rFonts w:hint="eastAsia" w:cs="Times New Roman"/>
        </w:rPr>
        <w:t>压力</w:t>
      </w:r>
      <w:r>
        <w:rPr>
          <w:rFonts w:cs="Times New Roman"/>
        </w:rPr>
        <w:t>浇筑方式。</w:t>
      </w:r>
    </w:p>
    <w:p>
      <w:pPr>
        <w:tabs>
          <w:tab w:val="left" w:pos="2220"/>
        </w:tabs>
        <w:snapToGrid w:val="0"/>
        <w:ind w:firstLine="482" w:firstLineChars="200"/>
        <w:jc w:val="both"/>
        <w:rPr>
          <w:rFonts w:cs="Times New Roman"/>
        </w:rPr>
      </w:pPr>
      <w:r>
        <w:rPr>
          <w:rFonts w:cs="Times New Roman"/>
          <w:b/>
          <w:bCs/>
        </w:rPr>
        <w:t xml:space="preserve">3  </w:t>
      </w:r>
      <w:r>
        <w:rPr>
          <w:rFonts w:cs="Times New Roman"/>
        </w:rPr>
        <w:t>注仓料浇筑后应按施工技术方案养护。</w:t>
      </w:r>
    </w:p>
    <w:p>
      <w:pPr>
        <w:tabs>
          <w:tab w:val="left" w:pos="2220"/>
        </w:tabs>
        <w:snapToGrid w:val="0"/>
        <w:ind w:firstLine="482" w:firstLineChars="200"/>
        <w:jc w:val="both"/>
        <w:rPr>
          <w:rFonts w:cs="Times New Roman"/>
        </w:rPr>
      </w:pPr>
      <w:r>
        <w:rPr>
          <w:rFonts w:cs="Times New Roman"/>
          <w:b/>
          <w:bCs/>
        </w:rPr>
        <w:t xml:space="preserve">4  </w:t>
      </w:r>
      <w:r>
        <w:rPr>
          <w:rFonts w:cs="Times New Roman"/>
        </w:rPr>
        <w:t>注仓料冬期、高温和雨期施工应符合现行国家标准《混凝土结构工程施工规范》GB 50666的相关规定。</w:t>
      </w:r>
    </w:p>
    <w:p>
      <w:pPr>
        <w:pStyle w:val="4"/>
        <w:snapToGrid w:val="0"/>
        <w:spacing w:before="0" w:after="0" w:line="360" w:lineRule="auto"/>
        <w:rPr>
          <w:rFonts w:ascii="Times New Roman" w:hAnsi="Times New Roman" w:cs="Times New Roman"/>
        </w:rPr>
      </w:pPr>
      <w:bookmarkStart w:id="91" w:name="_Toc10214"/>
      <w:bookmarkStart w:id="92" w:name="_Toc159"/>
      <w:bookmarkStart w:id="93" w:name="_Toc26857"/>
      <w:r>
        <w:rPr>
          <w:rFonts w:ascii="Times New Roman" w:hAnsi="Times New Roman" w:cs="Times New Roman"/>
        </w:rPr>
        <w:t>5.</w:t>
      </w:r>
      <w:r>
        <w:rPr>
          <w:rFonts w:hint="eastAsia" w:ascii="Times New Roman" w:hAnsi="Times New Roman" w:cs="Times New Roman"/>
        </w:rPr>
        <w:t>6</w:t>
      </w:r>
      <w:r>
        <w:rPr>
          <w:rFonts w:ascii="Times New Roman" w:hAnsi="Times New Roman" w:cs="Times New Roman"/>
        </w:rPr>
        <w:t>  </w:t>
      </w:r>
      <w:r>
        <w:rPr>
          <w:rFonts w:hint="eastAsia" w:ascii="Times New Roman" w:hAnsi="Times New Roman" w:cs="Times New Roman"/>
        </w:rPr>
        <w:t>绿色</w:t>
      </w:r>
      <w:r>
        <w:rPr>
          <w:rFonts w:ascii="Times New Roman" w:hAnsi="Times New Roman" w:cs="Times New Roman"/>
        </w:rPr>
        <w:t>施工</w:t>
      </w:r>
      <w:bookmarkEnd w:id="91"/>
      <w:bookmarkEnd w:id="92"/>
      <w:bookmarkEnd w:id="93"/>
    </w:p>
    <w:p>
      <w:pPr>
        <w:snapToGrid w:val="0"/>
        <w:rPr>
          <w:rFonts w:cs="Times New Roman"/>
        </w:rPr>
      </w:pPr>
      <w:r>
        <w:rPr>
          <w:rStyle w:val="22"/>
          <w:rFonts w:ascii="Times New Roman" w:hAnsi="Times New Roman" w:cs="Times New Roman"/>
        </w:rPr>
        <w:t>5.</w:t>
      </w:r>
      <w:r>
        <w:rPr>
          <w:rStyle w:val="22"/>
          <w:rFonts w:hint="eastAsia" w:ascii="Times New Roman" w:hAnsi="Times New Roman" w:cs="Times New Roman"/>
        </w:rPr>
        <w:t>6</w:t>
      </w:r>
      <w:r>
        <w:rPr>
          <w:rStyle w:val="22"/>
          <w:rFonts w:ascii="Times New Roman" w:hAnsi="Times New Roman" w:cs="Times New Roman"/>
        </w:rPr>
        <w:t>.1</w:t>
      </w:r>
      <w:r>
        <w:rPr>
          <w:rFonts w:cs="Times New Roman"/>
        </w:rPr>
        <w:t>  墙体施工前，</w:t>
      </w:r>
      <w:r>
        <w:rPr>
          <w:rFonts w:hint="eastAsia" w:cs="Times New Roman"/>
        </w:rPr>
        <w:t>宜</w:t>
      </w:r>
      <w:r>
        <w:rPr>
          <w:rFonts w:cs="Times New Roman"/>
        </w:rPr>
        <w:t>编制墙体绿色施工方案，并进行技术交底和实施。</w:t>
      </w:r>
    </w:p>
    <w:p>
      <w:pPr>
        <w:snapToGrid w:val="0"/>
        <w:rPr>
          <w:rFonts w:cs="Times New Roman"/>
        </w:rPr>
      </w:pPr>
      <w:r>
        <w:rPr>
          <w:rStyle w:val="22"/>
          <w:rFonts w:ascii="Times New Roman" w:hAnsi="Times New Roman" w:cs="Times New Roman"/>
        </w:rPr>
        <w:t>5.</w:t>
      </w:r>
      <w:r>
        <w:rPr>
          <w:rStyle w:val="22"/>
          <w:rFonts w:hint="eastAsia" w:ascii="Times New Roman" w:hAnsi="Times New Roman" w:cs="Times New Roman"/>
        </w:rPr>
        <w:t>6</w:t>
      </w:r>
      <w:r>
        <w:rPr>
          <w:rStyle w:val="22"/>
          <w:rFonts w:ascii="Times New Roman" w:hAnsi="Times New Roman" w:cs="Times New Roman"/>
        </w:rPr>
        <w:t>.2</w:t>
      </w:r>
      <w:r>
        <w:rPr>
          <w:rFonts w:cs="Times New Roman"/>
        </w:rPr>
        <w:t>  墙体</w:t>
      </w:r>
      <w:r>
        <w:rPr>
          <w:rFonts w:hint="eastAsia" w:cs="Times New Roman"/>
        </w:rPr>
        <w:t>安装</w:t>
      </w:r>
      <w:r>
        <w:rPr>
          <w:rFonts w:cs="Times New Roman"/>
        </w:rPr>
        <w:t>过程中，应采取建筑垃圾减量化措施。施工过程中产生的建筑垃圾，应进行分类、统计和处理。可循环使用的建筑垃圾，应加强回收利用。</w:t>
      </w:r>
    </w:p>
    <w:p>
      <w:pPr>
        <w:snapToGrid w:val="0"/>
        <w:rPr>
          <w:rFonts w:cs="Times New Roman"/>
        </w:rPr>
      </w:pPr>
      <w:r>
        <w:rPr>
          <w:rStyle w:val="22"/>
          <w:rFonts w:ascii="Times New Roman" w:hAnsi="Times New Roman" w:cs="Times New Roman"/>
        </w:rPr>
        <w:t>5.</w:t>
      </w:r>
      <w:r>
        <w:rPr>
          <w:rStyle w:val="22"/>
          <w:rFonts w:hint="eastAsia" w:ascii="Times New Roman" w:hAnsi="Times New Roman" w:cs="Times New Roman"/>
        </w:rPr>
        <w:t>6</w:t>
      </w:r>
      <w:r>
        <w:rPr>
          <w:rStyle w:val="22"/>
          <w:rFonts w:ascii="Times New Roman" w:hAnsi="Times New Roman" w:cs="Times New Roman"/>
        </w:rPr>
        <w:t>.3</w:t>
      </w:r>
      <w:r>
        <w:rPr>
          <w:rFonts w:cs="Times New Roman"/>
        </w:rPr>
        <w:t>  墙体安装过程中，应对材料搬运、施工设备和机具作业等采取可靠的降低噪声措施。施工作业在施工场界的噪声级，不得超出现行国家标准《建筑施工场界噪声限值》GB 12523的限值要求。</w:t>
      </w:r>
    </w:p>
    <w:p>
      <w:pPr>
        <w:snapToGrid w:val="0"/>
        <w:rPr>
          <w:rFonts w:cs="Times New Roman"/>
        </w:rPr>
      </w:pPr>
      <w:r>
        <w:rPr>
          <w:rStyle w:val="22"/>
          <w:rFonts w:ascii="Times New Roman" w:hAnsi="Times New Roman" w:cs="Times New Roman"/>
        </w:rPr>
        <w:t>5.</w:t>
      </w:r>
      <w:r>
        <w:rPr>
          <w:rStyle w:val="22"/>
          <w:rFonts w:hint="eastAsia" w:ascii="Times New Roman" w:hAnsi="Times New Roman" w:cs="Times New Roman"/>
        </w:rPr>
        <w:t>6</w:t>
      </w:r>
      <w:r>
        <w:rPr>
          <w:rStyle w:val="22"/>
          <w:rFonts w:ascii="Times New Roman" w:hAnsi="Times New Roman" w:cs="Times New Roman"/>
        </w:rPr>
        <w:t>.4</w:t>
      </w:r>
      <w:r>
        <w:rPr>
          <w:rFonts w:cs="Times New Roman"/>
        </w:rPr>
        <w:t>  冲洗搅拌输送设备时，应采取三级沉淀池对冲洗废水、废料进行沉淀过滤，对沉淀过滤后的废水、浆料单独进行回收，用于下次搅拌，不得直接排放。</w:t>
      </w:r>
    </w:p>
    <w:p>
      <w:pPr>
        <w:snapToGrid w:val="0"/>
        <w:rPr>
          <w:rFonts w:cs="Times New Roman"/>
        </w:rPr>
      </w:pPr>
      <w:r>
        <w:rPr>
          <w:rStyle w:val="22"/>
          <w:rFonts w:ascii="Times New Roman" w:hAnsi="Times New Roman" w:cs="Times New Roman"/>
        </w:rPr>
        <w:t>5.</w:t>
      </w:r>
      <w:r>
        <w:rPr>
          <w:rStyle w:val="22"/>
          <w:rFonts w:hint="eastAsia" w:ascii="Times New Roman" w:hAnsi="Times New Roman" w:cs="Times New Roman"/>
        </w:rPr>
        <w:t>6</w:t>
      </w:r>
      <w:r>
        <w:rPr>
          <w:rStyle w:val="22"/>
          <w:rFonts w:ascii="Times New Roman" w:hAnsi="Times New Roman" w:cs="Times New Roman"/>
        </w:rPr>
        <w:t>.5</w:t>
      </w:r>
      <w:r>
        <w:rPr>
          <w:rFonts w:cs="Times New Roman"/>
        </w:rPr>
        <w:t>  施工过程中，对施工设备和机具维修、运行、存储时的漏油，应采取有效的隔离措施，不得直接污染土壤。漏油应统一收集并进行无害化处理。</w:t>
      </w:r>
    </w:p>
    <w:p>
      <w:pPr>
        <w:snapToGrid w:val="0"/>
        <w:rPr>
          <w:rFonts w:cs="Times New Roman"/>
        </w:rPr>
      </w:pPr>
      <w:r>
        <w:rPr>
          <w:rStyle w:val="22"/>
          <w:rFonts w:ascii="Times New Roman" w:hAnsi="Times New Roman" w:cs="Times New Roman"/>
        </w:rPr>
        <w:t>5.</w:t>
      </w:r>
      <w:r>
        <w:rPr>
          <w:rStyle w:val="22"/>
          <w:rFonts w:hint="eastAsia" w:ascii="Times New Roman" w:hAnsi="Times New Roman" w:cs="Times New Roman"/>
        </w:rPr>
        <w:t>6</w:t>
      </w:r>
      <w:r>
        <w:rPr>
          <w:rStyle w:val="22"/>
          <w:rFonts w:ascii="Times New Roman" w:hAnsi="Times New Roman" w:cs="Times New Roman"/>
        </w:rPr>
        <w:t>.6</w:t>
      </w:r>
      <w:r>
        <w:rPr>
          <w:rFonts w:cs="Times New Roman"/>
        </w:rPr>
        <w:t>  注仓料所需的外加剂、养护剂应满足环境保护和人身健康的要求。</w:t>
      </w:r>
    </w:p>
    <w:p>
      <w:pPr>
        <w:snapToGrid w:val="0"/>
        <w:rPr>
          <w:rFonts w:cs="Times New Roman"/>
        </w:rPr>
      </w:pPr>
      <w:r>
        <w:rPr>
          <w:rStyle w:val="22"/>
          <w:rFonts w:ascii="Times New Roman" w:hAnsi="Times New Roman" w:cs="Times New Roman"/>
        </w:rPr>
        <w:t>5.</w:t>
      </w:r>
      <w:r>
        <w:rPr>
          <w:rStyle w:val="22"/>
          <w:rFonts w:hint="eastAsia" w:ascii="Times New Roman" w:hAnsi="Times New Roman" w:cs="Times New Roman"/>
        </w:rPr>
        <w:t>6</w:t>
      </w:r>
      <w:r>
        <w:rPr>
          <w:rStyle w:val="22"/>
          <w:rFonts w:ascii="Times New Roman" w:hAnsi="Times New Roman" w:cs="Times New Roman"/>
        </w:rPr>
        <w:t>.7</w:t>
      </w:r>
      <w:r>
        <w:rPr>
          <w:rFonts w:cs="Times New Roman"/>
        </w:rPr>
        <w:t>  施工中可能接触有害物质的操作人员应采取有效的防护措施。</w:t>
      </w:r>
    </w:p>
    <w:p>
      <w:pPr>
        <w:snapToGrid w:val="0"/>
        <w:rPr>
          <w:rFonts w:cs="Times New Roman"/>
        </w:rPr>
      </w:pPr>
    </w:p>
    <w:p>
      <w:pPr>
        <w:snapToGrid w:val="0"/>
        <w:rPr>
          <w:rFonts w:cs="Times New Roman"/>
        </w:rPr>
        <w:sectPr>
          <w:pgSz w:w="11906" w:h="16838"/>
          <w:pgMar w:top="1440" w:right="1800" w:bottom="1440" w:left="1800" w:header="851" w:footer="992" w:gutter="0"/>
          <w:cols w:space="425" w:num="1"/>
          <w:docGrid w:type="lines" w:linePitch="312" w:charSpace="0"/>
        </w:sectPr>
      </w:pPr>
    </w:p>
    <w:p>
      <w:pPr>
        <w:pStyle w:val="3"/>
        <w:snapToGrid w:val="0"/>
        <w:spacing w:before="0" w:after="0" w:line="360" w:lineRule="auto"/>
        <w:rPr>
          <w:rFonts w:ascii="Times New Roman" w:hAnsi="Times New Roman" w:cs="Times New Roman"/>
        </w:rPr>
      </w:pPr>
      <w:bookmarkStart w:id="94" w:name="_Toc32353"/>
      <w:bookmarkStart w:id="95" w:name="_Toc24266"/>
      <w:bookmarkStart w:id="96" w:name="_Toc7234"/>
      <w:r>
        <w:rPr>
          <w:rFonts w:ascii="Times New Roman" w:hAnsi="Times New Roman" w:cs="Times New Roman"/>
        </w:rPr>
        <w:t>6  验  收</w:t>
      </w:r>
      <w:bookmarkEnd w:id="94"/>
      <w:bookmarkEnd w:id="95"/>
      <w:bookmarkEnd w:id="96"/>
    </w:p>
    <w:p>
      <w:bookmarkStart w:id="97" w:name="_Toc7603"/>
      <w:bookmarkStart w:id="98" w:name="_Toc27255"/>
      <w:bookmarkStart w:id="99" w:name="_Toc3041"/>
    </w:p>
    <w:p>
      <w:pPr>
        <w:pStyle w:val="4"/>
        <w:snapToGrid w:val="0"/>
        <w:spacing w:before="0" w:after="0" w:line="360" w:lineRule="auto"/>
        <w:rPr>
          <w:rFonts w:ascii="Times New Roman" w:hAnsi="Times New Roman" w:cs="Times New Roman"/>
        </w:rPr>
      </w:pPr>
      <w:bookmarkStart w:id="100" w:name="_Toc18487"/>
      <w:r>
        <w:rPr>
          <w:rFonts w:ascii="Times New Roman" w:hAnsi="Times New Roman" w:cs="Times New Roman"/>
        </w:rPr>
        <w:t>6.1  一般规定</w:t>
      </w:r>
      <w:bookmarkEnd w:id="97"/>
      <w:bookmarkEnd w:id="98"/>
      <w:bookmarkEnd w:id="99"/>
      <w:bookmarkEnd w:id="100"/>
    </w:p>
    <w:p>
      <w:pPr>
        <w:snapToGrid w:val="0"/>
        <w:rPr>
          <w:rFonts w:cs="Times New Roman"/>
        </w:rPr>
      </w:pPr>
      <w:r>
        <w:rPr>
          <w:rStyle w:val="22"/>
          <w:rFonts w:ascii="Times New Roman" w:hAnsi="Times New Roman" w:cs="Times New Roman"/>
        </w:rPr>
        <w:t>6.1.1</w:t>
      </w:r>
      <w:r>
        <w:rPr>
          <w:rFonts w:cs="Times New Roman"/>
        </w:rPr>
        <w:t>  装配式复合轻质墙体工程施工质量的检查和验收应符合现行国家标准《建筑工程施工质量验收统一标准》GB 50300的规定。</w:t>
      </w:r>
    </w:p>
    <w:p>
      <w:pPr>
        <w:snapToGrid w:val="0"/>
      </w:pPr>
      <w:r>
        <w:rPr>
          <w:rStyle w:val="22"/>
          <w:rFonts w:ascii="Times New Roman" w:hAnsi="Times New Roman" w:cs="Times New Roman"/>
        </w:rPr>
        <w:t>6.1.</w:t>
      </w:r>
      <w:r>
        <w:rPr>
          <w:rStyle w:val="22"/>
          <w:rFonts w:hint="eastAsia" w:ascii="Times New Roman" w:hAnsi="Times New Roman" w:cs="Times New Roman"/>
        </w:rPr>
        <w:t>2</w:t>
      </w:r>
      <w:r>
        <w:rPr>
          <w:rFonts w:cs="Times New Roman"/>
        </w:rPr>
        <w:t>  </w:t>
      </w:r>
      <w:r>
        <w:rPr>
          <w:rFonts w:hint="eastAsia"/>
        </w:rPr>
        <w:t>每50间应划分为一个检验批，不足50间应划分为一个检验批，大面积的房间和走廊应按墙面</w:t>
      </w:r>
      <w:r>
        <w:rPr>
          <w:rFonts w:cs="Times New Roman"/>
        </w:rPr>
        <w:t>30</w:t>
      </w:r>
      <w:r>
        <w:rPr>
          <w:rFonts w:hint="eastAsia" w:cs="Times New Roman"/>
        </w:rPr>
        <w:t xml:space="preserve"> </w:t>
      </w:r>
      <w:r>
        <w:rPr>
          <w:rFonts w:cs="Times New Roman"/>
        </w:rPr>
        <w:t>m²</w:t>
      </w:r>
      <w:r>
        <w:rPr>
          <w:rFonts w:hint="eastAsia"/>
        </w:rPr>
        <w:t>为一间。</w:t>
      </w:r>
    </w:p>
    <w:p>
      <w:pPr>
        <w:snapToGrid w:val="0"/>
      </w:pPr>
      <w:r>
        <w:rPr>
          <w:rStyle w:val="22"/>
          <w:rFonts w:ascii="Times New Roman" w:hAnsi="Times New Roman" w:cs="Times New Roman"/>
        </w:rPr>
        <w:t>6.1.</w:t>
      </w:r>
      <w:r>
        <w:rPr>
          <w:rStyle w:val="22"/>
          <w:rFonts w:hint="eastAsia" w:ascii="Times New Roman" w:hAnsi="Times New Roman" w:cs="Times New Roman"/>
        </w:rPr>
        <w:t>3</w:t>
      </w:r>
      <w:r>
        <w:rPr>
          <w:rFonts w:cs="Times New Roman"/>
        </w:rPr>
        <w:t>  </w:t>
      </w:r>
      <w:r>
        <w:rPr>
          <w:rFonts w:hint="eastAsia"/>
        </w:rPr>
        <w:t>检验批合格质量应符合下列规定：</w:t>
      </w:r>
    </w:p>
    <w:p>
      <w:pPr>
        <w:snapToGrid w:val="0"/>
        <w:ind w:firstLine="482" w:firstLineChars="200"/>
      </w:pPr>
      <w:r>
        <w:rPr>
          <w:rFonts w:hint="eastAsia"/>
          <w:b/>
          <w:bCs/>
        </w:rPr>
        <w:t>1</w:t>
      </w:r>
      <w:r>
        <w:rPr>
          <w:rFonts w:hint="eastAsia"/>
        </w:rPr>
        <w:t xml:space="preserve"> 质量经抽查检验均应合格。</w:t>
      </w:r>
    </w:p>
    <w:p>
      <w:pPr>
        <w:snapToGrid w:val="0"/>
        <w:ind w:firstLine="482" w:firstLineChars="200"/>
      </w:pPr>
      <w:r>
        <w:rPr>
          <w:rFonts w:hint="eastAsia"/>
          <w:b/>
          <w:bCs/>
        </w:rPr>
        <w:t>2</w:t>
      </w:r>
      <w:r>
        <w:rPr>
          <w:rFonts w:hint="eastAsia"/>
        </w:rPr>
        <w:t xml:space="preserve"> 质量抽查不合格的项目，应采取相应的处理措施。</w:t>
      </w:r>
    </w:p>
    <w:p>
      <w:pPr>
        <w:snapToGrid w:val="0"/>
        <w:ind w:firstLine="482" w:firstLineChars="200"/>
      </w:pPr>
      <w:r>
        <w:rPr>
          <w:rFonts w:hint="eastAsia"/>
          <w:b/>
          <w:bCs/>
        </w:rPr>
        <w:t>3</w:t>
      </w:r>
      <w:r>
        <w:rPr>
          <w:rFonts w:hint="eastAsia"/>
        </w:rPr>
        <w:t xml:space="preserve"> 应有完整的质量检验记录，检验记录应符合附录D的规定。</w:t>
      </w:r>
    </w:p>
    <w:p>
      <w:pPr>
        <w:snapToGrid w:val="0"/>
        <w:rPr>
          <w:rFonts w:cs="Times New Roman"/>
        </w:rPr>
      </w:pPr>
      <w:r>
        <w:rPr>
          <w:rStyle w:val="22"/>
          <w:rFonts w:ascii="Times New Roman" w:hAnsi="Times New Roman" w:cs="Times New Roman"/>
        </w:rPr>
        <w:t>6.1.</w:t>
      </w:r>
      <w:r>
        <w:rPr>
          <w:rStyle w:val="22"/>
          <w:rFonts w:hint="eastAsia" w:ascii="Times New Roman" w:hAnsi="Times New Roman" w:cs="Times New Roman"/>
        </w:rPr>
        <w:t>4</w:t>
      </w:r>
      <w:r>
        <w:rPr>
          <w:rFonts w:cs="Times New Roman"/>
        </w:rPr>
        <w:t>  装配式复合轻质墙体验收时应检查下列文件和记录：</w:t>
      </w:r>
    </w:p>
    <w:p>
      <w:pPr>
        <w:snapToGrid w:val="0"/>
        <w:ind w:firstLine="480"/>
        <w:rPr>
          <w:rFonts w:cs="Times New Roman"/>
        </w:rPr>
      </w:pPr>
      <w:r>
        <w:rPr>
          <w:rFonts w:cs="Times New Roman"/>
          <w:b/>
          <w:bCs/>
        </w:rPr>
        <w:t>1</w:t>
      </w:r>
      <w:r>
        <w:rPr>
          <w:rFonts w:cs="Times New Roman"/>
        </w:rPr>
        <w:t xml:space="preserve"> 墙体深化设计图纸及其它设计文件；</w:t>
      </w:r>
    </w:p>
    <w:p>
      <w:pPr>
        <w:snapToGrid w:val="0"/>
        <w:ind w:firstLine="482" w:firstLineChars="200"/>
        <w:rPr>
          <w:rFonts w:cs="Times New Roman"/>
        </w:rPr>
      </w:pPr>
      <w:r>
        <w:rPr>
          <w:rFonts w:cs="Times New Roman"/>
          <w:b/>
          <w:bCs/>
        </w:rPr>
        <w:t>2</w:t>
      </w:r>
      <w:r>
        <w:rPr>
          <w:rFonts w:cs="Times New Roman"/>
        </w:rPr>
        <w:t xml:space="preserve"> 原材料、产品合格证、性能检测报告、进场验收记录和抽样检验报告；</w:t>
      </w:r>
    </w:p>
    <w:p>
      <w:pPr>
        <w:snapToGrid w:val="0"/>
        <w:ind w:firstLine="480"/>
        <w:rPr>
          <w:rFonts w:cs="Times New Roman"/>
        </w:rPr>
      </w:pPr>
      <w:r>
        <w:rPr>
          <w:rFonts w:cs="Times New Roman"/>
          <w:b/>
          <w:bCs/>
        </w:rPr>
        <w:t>3</w:t>
      </w:r>
      <w:r>
        <w:rPr>
          <w:rFonts w:cs="Times New Roman"/>
        </w:rPr>
        <w:t xml:space="preserve"> 隐蔽工程验收记录；</w:t>
      </w:r>
    </w:p>
    <w:p>
      <w:pPr>
        <w:snapToGrid w:val="0"/>
        <w:ind w:firstLine="480"/>
        <w:rPr>
          <w:rFonts w:cs="Times New Roman"/>
        </w:rPr>
      </w:pPr>
      <w:r>
        <w:rPr>
          <w:rFonts w:cs="Times New Roman"/>
          <w:b/>
          <w:bCs/>
        </w:rPr>
        <w:t>4</w:t>
      </w:r>
      <w:r>
        <w:rPr>
          <w:rFonts w:cs="Times New Roman"/>
        </w:rPr>
        <w:t xml:space="preserve"> 施工记录；</w:t>
      </w:r>
    </w:p>
    <w:p>
      <w:pPr>
        <w:snapToGrid w:val="0"/>
        <w:ind w:firstLine="480"/>
        <w:rPr>
          <w:rFonts w:cs="Times New Roman"/>
        </w:rPr>
      </w:pPr>
      <w:r>
        <w:rPr>
          <w:rFonts w:cs="Times New Roman"/>
          <w:b/>
          <w:bCs/>
        </w:rPr>
        <w:t>5</w:t>
      </w:r>
      <w:r>
        <w:rPr>
          <w:rFonts w:cs="Times New Roman"/>
        </w:rPr>
        <w:t xml:space="preserve"> 检验批和分项工程质量验收记录。</w:t>
      </w:r>
    </w:p>
    <w:p>
      <w:pPr>
        <w:snapToGrid w:val="0"/>
        <w:rPr>
          <w:rFonts w:cs="Times New Roman"/>
        </w:rPr>
      </w:pPr>
      <w:r>
        <w:rPr>
          <w:rStyle w:val="22"/>
          <w:rFonts w:ascii="Times New Roman" w:hAnsi="Times New Roman" w:cs="Times New Roman"/>
        </w:rPr>
        <w:t>6.1.</w:t>
      </w:r>
      <w:r>
        <w:rPr>
          <w:rStyle w:val="22"/>
          <w:rFonts w:hint="eastAsia" w:ascii="Times New Roman" w:hAnsi="Times New Roman" w:cs="Times New Roman"/>
        </w:rPr>
        <w:t>5</w:t>
      </w:r>
      <w:r>
        <w:rPr>
          <w:rFonts w:cs="Times New Roman"/>
        </w:rPr>
        <w:t>  墙体模板封闭前，应进行隐蔽工程验收，主要包括下列内容：</w:t>
      </w:r>
    </w:p>
    <w:p>
      <w:pPr>
        <w:snapToGrid w:val="0"/>
        <w:ind w:firstLine="482" w:firstLineChars="200"/>
        <w:rPr>
          <w:rFonts w:cs="Times New Roman"/>
        </w:rPr>
      </w:pPr>
      <w:r>
        <w:rPr>
          <w:rFonts w:cs="Times New Roman"/>
          <w:b/>
          <w:bCs/>
        </w:rPr>
        <w:t>1</w:t>
      </w:r>
      <w:r>
        <w:rPr>
          <w:rFonts w:cs="Times New Roman"/>
        </w:rPr>
        <w:t xml:space="preserve">  墙面板与主体结构之间的连接；</w:t>
      </w:r>
    </w:p>
    <w:p>
      <w:pPr>
        <w:snapToGrid w:val="0"/>
        <w:ind w:firstLine="480"/>
        <w:rPr>
          <w:rFonts w:cs="Times New Roman"/>
        </w:rPr>
      </w:pPr>
      <w:r>
        <w:rPr>
          <w:rFonts w:cs="Times New Roman"/>
          <w:b/>
          <w:bCs/>
        </w:rPr>
        <w:t>2</w:t>
      </w:r>
      <w:r>
        <w:rPr>
          <w:rFonts w:cs="Times New Roman"/>
        </w:rPr>
        <w:t xml:space="preserve">  各种预埋管线、预埋件的数量、规格和位置。</w:t>
      </w:r>
    </w:p>
    <w:p>
      <w:pPr>
        <w:pStyle w:val="4"/>
        <w:snapToGrid w:val="0"/>
        <w:spacing w:before="0" w:after="0" w:line="360" w:lineRule="auto"/>
        <w:rPr>
          <w:rFonts w:ascii="Times New Roman" w:hAnsi="Times New Roman" w:cs="Times New Roman"/>
        </w:rPr>
      </w:pPr>
      <w:bookmarkStart w:id="101" w:name="_Toc12794"/>
      <w:bookmarkStart w:id="102" w:name="_Toc6195"/>
      <w:bookmarkStart w:id="103" w:name="_Toc4271"/>
      <w:bookmarkStart w:id="104" w:name="_Toc4057"/>
      <w:r>
        <w:rPr>
          <w:rFonts w:ascii="Times New Roman" w:hAnsi="Times New Roman" w:cs="Times New Roman"/>
        </w:rPr>
        <w:t>6.2  </w:t>
      </w:r>
      <w:bookmarkEnd w:id="101"/>
      <w:bookmarkEnd w:id="102"/>
      <w:r>
        <w:rPr>
          <w:rFonts w:ascii="Times New Roman" w:hAnsi="Times New Roman" w:cs="Times New Roman"/>
        </w:rPr>
        <w:t>连接件</w:t>
      </w:r>
      <w:bookmarkEnd w:id="103"/>
    </w:p>
    <w:p>
      <w:pPr>
        <w:snapToGrid w:val="0"/>
        <w:jc w:val="center"/>
        <w:rPr>
          <w:rFonts w:ascii="仿宋_GB2312" w:eastAsia="仿宋_GB2312" w:cs="Times New Roman"/>
        </w:rPr>
      </w:pPr>
      <w:r>
        <w:rPr>
          <w:rFonts w:hint="eastAsia" w:ascii="仿宋_GB2312" w:eastAsia="仿宋_GB2312" w:cs="Times New Roman"/>
        </w:rPr>
        <w:t>（I）连接件进场检验</w:t>
      </w:r>
    </w:p>
    <w:p>
      <w:pPr>
        <w:snapToGrid w:val="0"/>
        <w:ind w:left="482" w:hanging="482" w:hangingChars="200"/>
        <w:rPr>
          <w:rFonts w:cs="Times New Roman"/>
        </w:rPr>
      </w:pPr>
      <w:r>
        <w:rPr>
          <w:rStyle w:val="22"/>
          <w:rFonts w:ascii="Times New Roman" w:hAnsi="Times New Roman" w:cs="Times New Roman"/>
        </w:rPr>
        <w:t>6.2.1</w:t>
      </w:r>
      <w:r>
        <w:rPr>
          <w:rFonts w:cs="Times New Roman"/>
        </w:rPr>
        <w:t>  连接件进场时，应进提供原材料质量检测报告及出厂合格证，其质量应符合国家现行相关标准的规定。</w:t>
      </w:r>
    </w:p>
    <w:p>
      <w:pPr>
        <w:snapToGrid w:val="0"/>
        <w:ind w:left="480" w:hanging="480" w:hangingChars="200"/>
        <w:rPr>
          <w:rFonts w:cs="Times New Roman"/>
        </w:rPr>
      </w:pPr>
      <w:r>
        <w:rPr>
          <w:rFonts w:cs="Times New Roman"/>
        </w:rPr>
        <w:t xml:space="preserve">    检查数量：按连接件数量抽查0.03%，且不应小于3件。</w:t>
      </w:r>
    </w:p>
    <w:p>
      <w:pPr>
        <w:snapToGrid w:val="0"/>
        <w:ind w:left="480" w:hanging="480" w:hangingChars="200"/>
        <w:rPr>
          <w:rFonts w:cs="Times New Roman"/>
        </w:rPr>
      </w:pPr>
      <w:r>
        <w:rPr>
          <w:rFonts w:cs="Times New Roman"/>
        </w:rPr>
        <w:t xml:space="preserve">    检验方法：检查产品合格证、出厂检验报告和现场检验报告。</w:t>
      </w:r>
    </w:p>
    <w:p>
      <w:pPr>
        <w:snapToGrid w:val="0"/>
        <w:ind w:left="482" w:hanging="482" w:hangingChars="200"/>
        <w:rPr>
          <w:rFonts w:cs="Times New Roman"/>
        </w:rPr>
      </w:pPr>
      <w:r>
        <w:rPr>
          <w:rStyle w:val="22"/>
          <w:rFonts w:ascii="Times New Roman" w:hAnsi="Times New Roman" w:cs="Times New Roman"/>
        </w:rPr>
        <w:t>6.2.2</w:t>
      </w:r>
      <w:r>
        <w:rPr>
          <w:rFonts w:cs="Times New Roman"/>
        </w:rPr>
        <w:t>  连接件的镀锌层厚度应符合设计要求。</w:t>
      </w:r>
    </w:p>
    <w:p>
      <w:pPr>
        <w:snapToGrid w:val="0"/>
        <w:ind w:left="480" w:hanging="480" w:hangingChars="200"/>
        <w:rPr>
          <w:rFonts w:cs="Times New Roman"/>
        </w:rPr>
      </w:pPr>
      <w:r>
        <w:rPr>
          <w:rFonts w:cs="Times New Roman"/>
        </w:rPr>
        <w:t xml:space="preserve">    检查数量：全数检查。</w:t>
      </w:r>
    </w:p>
    <w:p>
      <w:pPr>
        <w:snapToGrid w:val="0"/>
        <w:ind w:left="480" w:hanging="480" w:hangingChars="200"/>
        <w:rPr>
          <w:rFonts w:cs="Times New Roman"/>
        </w:rPr>
      </w:pPr>
      <w:r>
        <w:rPr>
          <w:rFonts w:cs="Times New Roman"/>
        </w:rPr>
        <w:t xml:space="preserve">    检验方法：检查产品合格证、出厂检验报告。</w:t>
      </w:r>
    </w:p>
    <w:p>
      <w:pPr>
        <w:snapToGrid w:val="0"/>
        <w:ind w:left="482" w:hanging="482" w:hangingChars="200"/>
        <w:rPr>
          <w:rFonts w:cs="Times New Roman"/>
        </w:rPr>
      </w:pPr>
      <w:r>
        <w:rPr>
          <w:rStyle w:val="22"/>
          <w:rFonts w:ascii="Times New Roman" w:hAnsi="Times New Roman" w:cs="Times New Roman"/>
        </w:rPr>
        <w:t>6.2.3</w:t>
      </w:r>
      <w:r>
        <w:rPr>
          <w:rFonts w:cs="Times New Roman"/>
        </w:rPr>
        <w:t>  连接件应无损伤，表面不得有裂纹、油污。</w:t>
      </w:r>
    </w:p>
    <w:p>
      <w:pPr>
        <w:snapToGrid w:val="0"/>
        <w:ind w:left="480" w:hanging="480" w:hangingChars="200"/>
        <w:rPr>
          <w:rFonts w:cs="Times New Roman"/>
        </w:rPr>
      </w:pPr>
      <w:r>
        <w:rPr>
          <w:rFonts w:cs="Times New Roman"/>
        </w:rPr>
        <w:t xml:space="preserve">    检查数量：按连接件数量抽查0.03%，且不应小于3件。</w:t>
      </w:r>
    </w:p>
    <w:p>
      <w:pPr>
        <w:snapToGrid w:val="0"/>
        <w:ind w:left="480" w:hanging="480" w:hangingChars="200"/>
        <w:rPr>
          <w:rFonts w:cs="Times New Roman"/>
        </w:rPr>
      </w:pPr>
      <w:r>
        <w:rPr>
          <w:rFonts w:cs="Times New Roman"/>
        </w:rPr>
        <w:t xml:space="preserve">    检验方法：观察。</w:t>
      </w:r>
    </w:p>
    <w:p>
      <w:pPr>
        <w:snapToGrid w:val="0"/>
        <w:ind w:left="482" w:hanging="482" w:hangingChars="200"/>
        <w:rPr>
          <w:rFonts w:cs="Times New Roman"/>
        </w:rPr>
      </w:pPr>
      <w:r>
        <w:rPr>
          <w:rStyle w:val="22"/>
          <w:rFonts w:ascii="Times New Roman" w:hAnsi="Times New Roman" w:cs="Times New Roman"/>
        </w:rPr>
        <w:t>6.2.4</w:t>
      </w:r>
      <w:r>
        <w:rPr>
          <w:rFonts w:cs="Times New Roman"/>
        </w:rPr>
        <w:t>  </w:t>
      </w:r>
      <w:r>
        <w:rPr>
          <w:rFonts w:hint="eastAsia" w:cs="Times New Roman"/>
        </w:rPr>
        <w:t>连接件的加工允许偏差应符合表6</w:t>
      </w:r>
      <w:r>
        <w:rPr>
          <w:rFonts w:cs="Times New Roman"/>
        </w:rPr>
        <w:t>.2.4</w:t>
      </w:r>
      <w:r>
        <w:rPr>
          <w:rFonts w:hint="eastAsia" w:cs="Times New Roman"/>
        </w:rPr>
        <w:t>的规定。</w:t>
      </w:r>
    </w:p>
    <w:p>
      <w:pPr>
        <w:snapToGrid w:val="0"/>
        <w:ind w:left="480" w:hanging="480" w:hangingChars="200"/>
        <w:rPr>
          <w:rFonts w:cs="Times New Roman"/>
        </w:rPr>
      </w:pPr>
      <w:r>
        <w:rPr>
          <w:rFonts w:cs="Times New Roman"/>
        </w:rPr>
        <w:t xml:space="preserve">    </w:t>
      </w:r>
      <w:r>
        <w:rPr>
          <w:rFonts w:hint="eastAsia" w:cs="Times New Roman"/>
        </w:rPr>
        <w:t>检查数量：按连接件数量抽查</w:t>
      </w:r>
      <w:r>
        <w:rPr>
          <w:rFonts w:cs="Times New Roman"/>
        </w:rPr>
        <w:t>5%</w:t>
      </w:r>
      <w:r>
        <w:rPr>
          <w:rFonts w:hint="eastAsia" w:cs="Times New Roman"/>
        </w:rPr>
        <w:t>，且不应小于</w:t>
      </w:r>
      <w:r>
        <w:rPr>
          <w:rFonts w:cs="Times New Roman"/>
        </w:rPr>
        <w:t>3</w:t>
      </w:r>
      <w:r>
        <w:rPr>
          <w:rFonts w:hint="eastAsia" w:cs="Times New Roman"/>
        </w:rPr>
        <w:t>件。</w:t>
      </w:r>
    </w:p>
    <w:p>
      <w:pPr>
        <w:snapToGrid w:val="0"/>
        <w:ind w:left="480" w:hanging="480" w:hangingChars="200"/>
        <w:rPr>
          <w:rFonts w:cs="Times New Roman"/>
        </w:rPr>
      </w:pPr>
      <w:r>
        <w:rPr>
          <w:rFonts w:cs="Times New Roman"/>
        </w:rPr>
        <w:t xml:space="preserve">    </w:t>
      </w:r>
      <w:r>
        <w:rPr>
          <w:rFonts w:hint="eastAsia" w:cs="Times New Roman"/>
        </w:rPr>
        <w:t>检验方法：尺量。</w:t>
      </w:r>
    </w:p>
    <w:p>
      <w:pPr>
        <w:snapToGrid w:val="0"/>
        <w:ind w:left="361" w:hanging="361" w:hangingChars="200"/>
        <w:jc w:val="center"/>
        <w:rPr>
          <w:rFonts w:cs="Times New Roman"/>
          <w:b/>
          <w:bCs/>
          <w:sz w:val="18"/>
          <w:szCs w:val="18"/>
        </w:rPr>
      </w:pPr>
      <w:r>
        <w:rPr>
          <w:rFonts w:hint="eastAsia" w:cs="Times New Roman"/>
          <w:b/>
          <w:bCs/>
          <w:sz w:val="18"/>
          <w:szCs w:val="18"/>
        </w:rPr>
        <w:t>表</w:t>
      </w:r>
      <w:r>
        <w:rPr>
          <w:rFonts w:cs="Times New Roman"/>
          <w:b/>
          <w:bCs/>
          <w:sz w:val="18"/>
          <w:szCs w:val="18"/>
        </w:rPr>
        <w:t xml:space="preserve">6.2.4 </w:t>
      </w:r>
      <w:r>
        <w:rPr>
          <w:rFonts w:hint="eastAsia" w:cs="Times New Roman"/>
          <w:b/>
          <w:bCs/>
          <w:sz w:val="18"/>
          <w:szCs w:val="18"/>
        </w:rPr>
        <w:t>连接件加工允许偏差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6" w:type="dxa"/>
            <w:gridSpan w:val="2"/>
            <w:vAlign w:val="center"/>
          </w:tcPr>
          <w:p>
            <w:pPr>
              <w:snapToGrid w:val="0"/>
              <w:spacing w:line="240" w:lineRule="auto"/>
              <w:jc w:val="center"/>
              <w:rPr>
                <w:rFonts w:cs="Times New Roman"/>
                <w:sz w:val="21"/>
                <w:szCs w:val="21"/>
              </w:rPr>
            </w:pPr>
            <w:r>
              <w:rPr>
                <w:rFonts w:hint="eastAsia" w:cs="Times New Roman"/>
                <w:sz w:val="21"/>
                <w:szCs w:val="21"/>
              </w:rPr>
              <w:t>项目</w:t>
            </w:r>
          </w:p>
        </w:tc>
        <w:tc>
          <w:tcPr>
            <w:tcW w:w="2268" w:type="dxa"/>
            <w:vAlign w:val="center"/>
          </w:tcPr>
          <w:p>
            <w:pPr>
              <w:snapToGrid w:val="0"/>
              <w:spacing w:line="240" w:lineRule="auto"/>
              <w:jc w:val="center"/>
              <w:rPr>
                <w:rFonts w:cs="Times New Roman"/>
                <w:sz w:val="21"/>
                <w:szCs w:val="21"/>
              </w:rPr>
            </w:pPr>
            <w:r>
              <w:rPr>
                <w:rFonts w:hint="eastAsia" w:cs="Times New Roman"/>
                <w:sz w:val="21"/>
                <w:szCs w:val="21"/>
              </w:rPr>
              <w:t>允许偏差（</w:t>
            </w:r>
            <w:r>
              <w:rPr>
                <w:rFonts w:cs="Times New Roman"/>
                <w:sz w:val="21"/>
                <w:szCs w:val="21"/>
              </w:rPr>
              <w:t>mm</w:t>
            </w:r>
            <w:r>
              <w:rPr>
                <w:rFonts w:hint="eastAsia"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Merge w:val="restart"/>
            <w:vAlign w:val="center"/>
          </w:tcPr>
          <w:p>
            <w:pPr>
              <w:snapToGrid w:val="0"/>
              <w:spacing w:line="240" w:lineRule="auto"/>
              <w:jc w:val="center"/>
              <w:rPr>
                <w:rFonts w:cs="Times New Roman"/>
                <w:sz w:val="21"/>
                <w:szCs w:val="21"/>
              </w:rPr>
            </w:pPr>
            <w:r>
              <w:rPr>
                <w:rFonts w:hint="eastAsia" w:cs="Times New Roman"/>
                <w:sz w:val="21"/>
                <w:szCs w:val="21"/>
              </w:rPr>
              <w:t>连接件尺寸</w:t>
            </w:r>
          </w:p>
        </w:tc>
        <w:tc>
          <w:tcPr>
            <w:tcW w:w="2268" w:type="dxa"/>
            <w:vAlign w:val="center"/>
          </w:tcPr>
          <w:p>
            <w:pPr>
              <w:snapToGrid w:val="0"/>
              <w:spacing w:line="240" w:lineRule="auto"/>
              <w:jc w:val="center"/>
              <w:rPr>
                <w:rFonts w:cs="Times New Roman"/>
                <w:sz w:val="21"/>
                <w:szCs w:val="21"/>
              </w:rPr>
            </w:pPr>
            <w:r>
              <w:rPr>
                <w:rFonts w:hint="eastAsia" w:cs="Times New Roman"/>
                <w:sz w:val="21"/>
                <w:szCs w:val="21"/>
              </w:rPr>
              <w:t>长度</w:t>
            </w:r>
          </w:p>
        </w:tc>
        <w:tc>
          <w:tcPr>
            <w:tcW w:w="2268" w:type="dxa"/>
            <w:vAlign w:val="center"/>
          </w:tcPr>
          <w:p>
            <w:pPr>
              <w:snapToGrid w:val="0"/>
              <w:spacing w:line="240" w:lineRule="auto"/>
              <w:jc w:val="center"/>
              <w:rPr>
                <w:rFonts w:cs="Times New Roman"/>
                <w:sz w:val="21"/>
                <w:szCs w:val="21"/>
              </w:rPr>
            </w:pPr>
            <w:r>
              <w:rPr>
                <w:rFonts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Merge w:val="continue"/>
            <w:vAlign w:val="center"/>
          </w:tcPr>
          <w:p>
            <w:pPr>
              <w:snapToGrid w:val="0"/>
              <w:spacing w:line="240" w:lineRule="auto"/>
              <w:jc w:val="center"/>
              <w:rPr>
                <w:rFonts w:cs="Times New Roman"/>
                <w:sz w:val="21"/>
                <w:szCs w:val="21"/>
              </w:rPr>
            </w:pPr>
          </w:p>
        </w:tc>
        <w:tc>
          <w:tcPr>
            <w:tcW w:w="2268" w:type="dxa"/>
            <w:vAlign w:val="center"/>
          </w:tcPr>
          <w:p>
            <w:pPr>
              <w:snapToGrid w:val="0"/>
              <w:spacing w:line="240" w:lineRule="auto"/>
              <w:jc w:val="center"/>
              <w:rPr>
                <w:rFonts w:cs="Times New Roman"/>
                <w:sz w:val="21"/>
                <w:szCs w:val="21"/>
              </w:rPr>
            </w:pPr>
            <w:r>
              <w:rPr>
                <w:rFonts w:hint="eastAsia" w:cs="Times New Roman"/>
                <w:sz w:val="21"/>
                <w:szCs w:val="21"/>
              </w:rPr>
              <w:t>高度</w:t>
            </w:r>
          </w:p>
        </w:tc>
        <w:tc>
          <w:tcPr>
            <w:tcW w:w="2268" w:type="dxa"/>
            <w:vAlign w:val="center"/>
          </w:tcPr>
          <w:p>
            <w:pPr>
              <w:snapToGrid w:val="0"/>
              <w:spacing w:line="240" w:lineRule="auto"/>
              <w:jc w:val="center"/>
              <w:rPr>
                <w:rFonts w:cs="Times New Roman"/>
                <w:sz w:val="21"/>
                <w:szCs w:val="21"/>
              </w:rPr>
            </w:pPr>
            <w:r>
              <w:rPr>
                <w:rFonts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Merge w:val="continue"/>
            <w:vAlign w:val="center"/>
          </w:tcPr>
          <w:p>
            <w:pPr>
              <w:snapToGrid w:val="0"/>
              <w:spacing w:line="240" w:lineRule="auto"/>
              <w:jc w:val="center"/>
              <w:rPr>
                <w:rFonts w:cs="Times New Roman"/>
                <w:sz w:val="21"/>
                <w:szCs w:val="21"/>
              </w:rPr>
            </w:pPr>
          </w:p>
        </w:tc>
        <w:tc>
          <w:tcPr>
            <w:tcW w:w="2268" w:type="dxa"/>
            <w:vAlign w:val="center"/>
          </w:tcPr>
          <w:p>
            <w:pPr>
              <w:snapToGrid w:val="0"/>
              <w:spacing w:line="240" w:lineRule="auto"/>
              <w:jc w:val="center"/>
              <w:rPr>
                <w:rFonts w:cs="Times New Roman"/>
                <w:sz w:val="21"/>
                <w:szCs w:val="21"/>
              </w:rPr>
            </w:pPr>
            <w:r>
              <w:rPr>
                <w:rFonts w:hint="eastAsia" w:cs="Times New Roman"/>
                <w:sz w:val="21"/>
                <w:szCs w:val="21"/>
              </w:rPr>
              <w:t>宽度</w:t>
            </w:r>
          </w:p>
        </w:tc>
        <w:tc>
          <w:tcPr>
            <w:tcW w:w="2268" w:type="dxa"/>
            <w:vAlign w:val="center"/>
          </w:tcPr>
          <w:p>
            <w:pPr>
              <w:snapToGrid w:val="0"/>
              <w:spacing w:line="240" w:lineRule="auto"/>
              <w:jc w:val="center"/>
              <w:rPr>
                <w:rFonts w:cs="Times New Roman"/>
                <w:sz w:val="21"/>
                <w:szCs w:val="21"/>
              </w:rPr>
            </w:pPr>
            <w:r>
              <w:rPr>
                <w:rFonts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6" w:type="dxa"/>
            <w:gridSpan w:val="2"/>
            <w:vAlign w:val="center"/>
          </w:tcPr>
          <w:p>
            <w:pPr>
              <w:snapToGrid w:val="0"/>
              <w:spacing w:line="240" w:lineRule="auto"/>
              <w:jc w:val="center"/>
              <w:rPr>
                <w:rFonts w:cs="Times New Roman"/>
                <w:sz w:val="21"/>
                <w:szCs w:val="21"/>
              </w:rPr>
            </w:pPr>
            <w:r>
              <w:rPr>
                <w:rFonts w:hint="eastAsia" w:cs="Times New Roman"/>
                <w:sz w:val="21"/>
                <w:szCs w:val="21"/>
              </w:rPr>
              <w:t>孔位</w:t>
            </w:r>
          </w:p>
        </w:tc>
        <w:tc>
          <w:tcPr>
            <w:tcW w:w="2268" w:type="dxa"/>
            <w:vAlign w:val="center"/>
          </w:tcPr>
          <w:p>
            <w:pPr>
              <w:snapToGrid w:val="0"/>
              <w:spacing w:line="240" w:lineRule="auto"/>
              <w:jc w:val="center"/>
              <w:rPr>
                <w:rFonts w:cs="Times New Roman"/>
                <w:sz w:val="21"/>
                <w:szCs w:val="21"/>
              </w:rPr>
            </w:pPr>
            <w:r>
              <w:rPr>
                <w:rFonts w:cs="Times New Roman"/>
                <w:sz w:val="21"/>
                <w:szCs w:val="21"/>
              </w:rPr>
              <w:t>±2</w:t>
            </w:r>
          </w:p>
        </w:tc>
      </w:tr>
    </w:tbl>
    <w:p>
      <w:r>
        <w:rPr>
          <w:rFonts w:hint="eastAsia"/>
          <w:b/>
          <w:bCs/>
        </w:rPr>
        <w:t>6.2.5</w:t>
      </w:r>
      <w:r>
        <w:rPr>
          <w:rFonts w:hint="eastAsia"/>
        </w:rPr>
        <w:t>  安装连接件使用的螺栓、射钉、焊条和焊丝，进场时应满足现行国家标准《钢结构工程施工质量验收标准》GB 50205的要求。</w:t>
      </w:r>
    </w:p>
    <w:p>
      <w:pPr>
        <w:snapToGrid w:val="0"/>
        <w:jc w:val="center"/>
        <w:rPr>
          <w:rFonts w:ascii="仿宋_GB2312" w:eastAsia="仿宋_GB2312" w:cs="Times New Roman"/>
        </w:rPr>
      </w:pPr>
    </w:p>
    <w:p>
      <w:pPr>
        <w:snapToGrid w:val="0"/>
        <w:jc w:val="center"/>
        <w:rPr>
          <w:rFonts w:ascii="仿宋_GB2312" w:eastAsia="仿宋_GB2312" w:cs="Times New Roman"/>
        </w:rPr>
      </w:pPr>
      <w:r>
        <w:rPr>
          <w:rFonts w:ascii="仿宋_GB2312" w:eastAsia="仿宋_GB2312" w:cs="Times New Roman"/>
        </w:rPr>
        <w:t>（II）连接件安装</w:t>
      </w:r>
    </w:p>
    <w:p>
      <w:pPr>
        <w:snapToGrid w:val="0"/>
        <w:ind w:left="482" w:hanging="482" w:hangingChars="200"/>
        <w:rPr>
          <w:rFonts w:cs="Times New Roman"/>
        </w:rPr>
      </w:pPr>
      <w:r>
        <w:rPr>
          <w:rStyle w:val="22"/>
          <w:rFonts w:ascii="Times New Roman" w:hAnsi="Times New Roman" w:cs="Times New Roman"/>
        </w:rPr>
        <w:t>6.2.</w:t>
      </w:r>
      <w:r>
        <w:rPr>
          <w:rStyle w:val="22"/>
          <w:rFonts w:hint="eastAsia" w:ascii="Times New Roman" w:hAnsi="Times New Roman" w:cs="Times New Roman"/>
        </w:rPr>
        <w:t>6</w:t>
      </w:r>
      <w:r>
        <w:rPr>
          <w:rFonts w:cs="Times New Roman"/>
        </w:rPr>
        <w:t>  连接件的安装应符合设计要求，其安装允许偏差应符合表6.2.5的规定。</w:t>
      </w:r>
    </w:p>
    <w:p>
      <w:pPr>
        <w:snapToGrid w:val="0"/>
        <w:ind w:left="480" w:leftChars="200"/>
        <w:rPr>
          <w:rFonts w:cs="Times New Roman"/>
        </w:rPr>
      </w:pPr>
      <w:r>
        <w:rPr>
          <w:rFonts w:cs="Times New Roman"/>
        </w:rPr>
        <w:t>检查数量：全数检查。</w:t>
      </w:r>
    </w:p>
    <w:p>
      <w:pPr>
        <w:snapToGrid w:val="0"/>
        <w:ind w:left="480" w:leftChars="200"/>
        <w:rPr>
          <w:rFonts w:cs="Times New Roman"/>
        </w:rPr>
      </w:pPr>
      <w:r>
        <w:rPr>
          <w:rFonts w:cs="Times New Roman"/>
        </w:rPr>
        <w:t>检验方法：尺量。</w:t>
      </w:r>
    </w:p>
    <w:p>
      <w:pPr>
        <w:snapToGrid w:val="0"/>
        <w:ind w:left="422" w:hanging="422" w:hangingChars="200"/>
        <w:jc w:val="center"/>
        <w:rPr>
          <w:rFonts w:cs="Times New Roman"/>
          <w:b/>
          <w:bCs/>
          <w:sz w:val="21"/>
          <w:szCs w:val="21"/>
        </w:rPr>
      </w:pPr>
      <w:r>
        <w:rPr>
          <w:rFonts w:cs="Times New Roman"/>
          <w:b/>
          <w:bCs/>
          <w:sz w:val="21"/>
          <w:szCs w:val="21"/>
        </w:rPr>
        <w:t>表6.2.</w:t>
      </w:r>
      <w:r>
        <w:rPr>
          <w:rFonts w:hint="eastAsia" w:cs="Times New Roman"/>
          <w:b/>
          <w:bCs/>
          <w:sz w:val="21"/>
          <w:szCs w:val="21"/>
        </w:rPr>
        <w:t>6</w:t>
      </w:r>
      <w:r>
        <w:rPr>
          <w:rFonts w:cs="Times New Roman"/>
          <w:b/>
          <w:bCs/>
          <w:sz w:val="21"/>
          <w:szCs w:val="21"/>
        </w:rPr>
        <w:t xml:space="preserve"> 连接件安装允许偏差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6" w:type="dxa"/>
            <w:vAlign w:val="center"/>
          </w:tcPr>
          <w:p>
            <w:pPr>
              <w:snapToGrid w:val="0"/>
              <w:spacing w:line="240" w:lineRule="auto"/>
              <w:jc w:val="center"/>
              <w:rPr>
                <w:rFonts w:cs="Times New Roman"/>
                <w:sz w:val="21"/>
                <w:szCs w:val="21"/>
              </w:rPr>
            </w:pPr>
            <w:r>
              <w:rPr>
                <w:rFonts w:cs="Times New Roman"/>
                <w:sz w:val="21"/>
                <w:szCs w:val="21"/>
              </w:rPr>
              <w:t>项目</w:t>
            </w:r>
          </w:p>
        </w:tc>
        <w:tc>
          <w:tcPr>
            <w:tcW w:w="2268" w:type="dxa"/>
            <w:vAlign w:val="center"/>
          </w:tcPr>
          <w:p>
            <w:pPr>
              <w:snapToGrid w:val="0"/>
              <w:spacing w:line="240" w:lineRule="auto"/>
              <w:jc w:val="center"/>
              <w:rPr>
                <w:rFonts w:cs="Times New Roman"/>
                <w:sz w:val="21"/>
                <w:szCs w:val="21"/>
              </w:rPr>
            </w:pPr>
            <w:r>
              <w:rPr>
                <w:rFonts w:cs="Times New Roman"/>
                <w:sz w:val="21"/>
                <w:szCs w:val="21"/>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6" w:type="dxa"/>
            <w:vAlign w:val="center"/>
          </w:tcPr>
          <w:p>
            <w:pPr>
              <w:snapToGrid w:val="0"/>
              <w:spacing w:line="240" w:lineRule="auto"/>
              <w:jc w:val="center"/>
              <w:rPr>
                <w:rFonts w:cs="Times New Roman"/>
                <w:sz w:val="21"/>
                <w:szCs w:val="21"/>
              </w:rPr>
            </w:pPr>
            <w:r>
              <w:rPr>
                <w:rFonts w:cs="Times New Roman"/>
                <w:sz w:val="21"/>
                <w:szCs w:val="21"/>
              </w:rPr>
              <w:t>顺轴线方向</w:t>
            </w:r>
          </w:p>
        </w:tc>
        <w:tc>
          <w:tcPr>
            <w:tcW w:w="2268" w:type="dxa"/>
            <w:vAlign w:val="center"/>
          </w:tcPr>
          <w:p>
            <w:pPr>
              <w:snapToGrid w:val="0"/>
              <w:spacing w:line="240" w:lineRule="auto"/>
              <w:jc w:val="center"/>
              <w:rPr>
                <w:rFonts w:cs="Times New Roman"/>
                <w:sz w:val="21"/>
                <w:szCs w:val="21"/>
              </w:rPr>
            </w:pPr>
            <w:r>
              <w:rPr>
                <w:rFonts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6" w:type="dxa"/>
            <w:vAlign w:val="center"/>
          </w:tcPr>
          <w:p>
            <w:pPr>
              <w:snapToGrid w:val="0"/>
              <w:spacing w:line="240" w:lineRule="auto"/>
              <w:jc w:val="center"/>
              <w:rPr>
                <w:rFonts w:cs="Times New Roman"/>
                <w:sz w:val="21"/>
                <w:szCs w:val="21"/>
              </w:rPr>
            </w:pPr>
            <w:r>
              <w:rPr>
                <w:rFonts w:cs="Times New Roman"/>
                <w:sz w:val="21"/>
                <w:szCs w:val="21"/>
              </w:rPr>
              <w:t>垂直轴线方向</w:t>
            </w:r>
          </w:p>
        </w:tc>
        <w:tc>
          <w:tcPr>
            <w:tcW w:w="2268" w:type="dxa"/>
            <w:vAlign w:val="center"/>
          </w:tcPr>
          <w:p>
            <w:pPr>
              <w:snapToGrid w:val="0"/>
              <w:spacing w:line="240" w:lineRule="auto"/>
              <w:jc w:val="center"/>
              <w:rPr>
                <w:rFonts w:cs="Times New Roman"/>
                <w:sz w:val="21"/>
                <w:szCs w:val="21"/>
              </w:rPr>
            </w:pPr>
            <w:r>
              <w:rPr>
                <w:rFonts w:cs="Times New Roman"/>
                <w:sz w:val="21"/>
                <w:szCs w:val="21"/>
              </w:rPr>
              <w:t>±1.5</w:t>
            </w:r>
          </w:p>
        </w:tc>
      </w:tr>
    </w:tbl>
    <w:p>
      <w:bookmarkStart w:id="105" w:name="_Toc3982"/>
      <w:bookmarkStart w:id="106" w:name="_Toc4769"/>
      <w:r>
        <w:rPr>
          <w:rFonts w:hint="eastAsia"/>
          <w:b/>
          <w:bCs/>
        </w:rPr>
        <w:t>6.2.7</w:t>
      </w:r>
      <w:r>
        <w:rPr>
          <w:rFonts w:hint="eastAsia"/>
        </w:rPr>
        <w:t>  安装连接件安装时的紧固、焊接质量要求应符合现行国家标准《钢结构工程施工质量验收标准》GB 50205的规定。</w:t>
      </w:r>
    </w:p>
    <w:p>
      <w:pPr>
        <w:pStyle w:val="4"/>
        <w:snapToGrid w:val="0"/>
        <w:spacing w:before="0" w:after="0" w:line="360" w:lineRule="auto"/>
        <w:rPr>
          <w:rFonts w:ascii="Times New Roman" w:hAnsi="Times New Roman" w:cs="Times New Roman"/>
        </w:rPr>
      </w:pPr>
      <w:bookmarkStart w:id="107" w:name="_Toc14192"/>
      <w:r>
        <w:rPr>
          <w:rFonts w:ascii="Times New Roman" w:hAnsi="Times New Roman" w:cs="Times New Roman"/>
        </w:rPr>
        <w:t>6.3  </w:t>
      </w:r>
      <w:bookmarkEnd w:id="104"/>
      <w:bookmarkEnd w:id="105"/>
      <w:bookmarkEnd w:id="106"/>
      <w:r>
        <w:rPr>
          <w:rFonts w:hint="eastAsia" w:ascii="Times New Roman" w:hAnsi="Times New Roman" w:cs="Times New Roman"/>
        </w:rPr>
        <w:t>预制</w:t>
      </w:r>
      <w:r>
        <w:rPr>
          <w:rFonts w:ascii="Times New Roman" w:hAnsi="Times New Roman" w:cs="Times New Roman"/>
        </w:rPr>
        <w:t>构件</w:t>
      </w:r>
      <w:bookmarkEnd w:id="107"/>
    </w:p>
    <w:p>
      <w:pPr>
        <w:snapToGrid w:val="0"/>
        <w:jc w:val="center"/>
        <w:rPr>
          <w:rFonts w:ascii="仿宋_GB2312" w:eastAsia="仿宋_GB2312" w:cs="Times New Roman"/>
        </w:rPr>
      </w:pPr>
      <w:r>
        <w:rPr>
          <w:rFonts w:hint="eastAsia" w:ascii="仿宋_GB2312" w:eastAsia="仿宋_GB2312" w:cs="Times New Roman"/>
        </w:rPr>
        <w:t>（I）预制构件进场检验</w:t>
      </w:r>
    </w:p>
    <w:p>
      <w:pPr>
        <w:snapToGrid w:val="0"/>
        <w:rPr>
          <w:rFonts w:cs="Times New Roman"/>
        </w:rPr>
      </w:pPr>
      <w:r>
        <w:rPr>
          <w:rStyle w:val="22"/>
          <w:rFonts w:ascii="Times New Roman" w:hAnsi="Times New Roman" w:cs="Times New Roman"/>
        </w:rPr>
        <w:t>6.3.1</w:t>
      </w:r>
      <w:r>
        <w:rPr>
          <w:rFonts w:cs="Times New Roman"/>
        </w:rPr>
        <w:t>  </w:t>
      </w:r>
      <w:r>
        <w:rPr>
          <w:rFonts w:hint="eastAsia" w:cs="Times New Roman"/>
        </w:rPr>
        <w:t>预制</w:t>
      </w:r>
      <w:r>
        <w:rPr>
          <w:rFonts w:cs="Times New Roman"/>
        </w:rPr>
        <w:t>构件进场时，应检查混凝土强度试验报告。</w:t>
      </w:r>
    </w:p>
    <w:p>
      <w:pPr>
        <w:snapToGrid w:val="0"/>
        <w:rPr>
          <w:rFonts w:cs="Times New Roman"/>
        </w:rPr>
      </w:pPr>
      <w:r>
        <w:rPr>
          <w:rStyle w:val="22"/>
          <w:rFonts w:ascii="Times New Roman" w:hAnsi="Times New Roman" w:cs="Times New Roman"/>
        </w:rPr>
        <w:t>6.3.2</w:t>
      </w:r>
      <w:r>
        <w:rPr>
          <w:rFonts w:cs="Times New Roman"/>
        </w:rPr>
        <w:t>  </w:t>
      </w:r>
      <w:r>
        <w:rPr>
          <w:rFonts w:hint="eastAsia" w:cs="Times New Roman"/>
        </w:rPr>
        <w:t>预制</w:t>
      </w:r>
      <w:r>
        <w:rPr>
          <w:rFonts w:cs="Times New Roman"/>
        </w:rPr>
        <w:t>构件的外观质量不应有严重缺陷，外观质量应符合表6.3.2的要求。</w:t>
      </w:r>
    </w:p>
    <w:p>
      <w:pPr>
        <w:snapToGrid w:val="0"/>
        <w:ind w:firstLine="480" w:firstLineChars="200"/>
        <w:rPr>
          <w:rFonts w:cs="Times New Roman"/>
        </w:rPr>
      </w:pPr>
      <w:r>
        <w:rPr>
          <w:rFonts w:cs="Times New Roman"/>
        </w:rPr>
        <w:t>检查数量：每1000个为一批，每批随机抽取1%，且不少于3个。</w:t>
      </w:r>
    </w:p>
    <w:p>
      <w:pPr>
        <w:snapToGrid w:val="0"/>
        <w:ind w:firstLine="480" w:firstLineChars="200"/>
        <w:rPr>
          <w:rFonts w:cs="Times New Roman"/>
        </w:rPr>
      </w:pPr>
      <w:r>
        <w:rPr>
          <w:rFonts w:cs="Times New Roman"/>
        </w:rPr>
        <w:t>检验方法：观察，尺量；检查处理记录。</w:t>
      </w:r>
    </w:p>
    <w:p>
      <w:pPr>
        <w:snapToGrid w:val="0"/>
        <w:ind w:left="422" w:hanging="422" w:hangingChars="200"/>
        <w:jc w:val="center"/>
        <w:rPr>
          <w:rFonts w:cs="Times New Roman"/>
          <w:b/>
          <w:bCs/>
          <w:sz w:val="21"/>
          <w:szCs w:val="21"/>
        </w:rPr>
      </w:pPr>
      <w:r>
        <w:rPr>
          <w:rFonts w:cs="Times New Roman"/>
          <w:b/>
          <w:bCs/>
          <w:sz w:val="21"/>
          <w:szCs w:val="21"/>
        </w:rPr>
        <w:t xml:space="preserve">表6.3.2 </w:t>
      </w:r>
      <w:r>
        <w:rPr>
          <w:rFonts w:hint="eastAsia" w:cs="Times New Roman"/>
          <w:b/>
          <w:bCs/>
          <w:sz w:val="21"/>
          <w:szCs w:val="21"/>
        </w:rPr>
        <w:t>预制构件</w:t>
      </w:r>
      <w:r>
        <w:rPr>
          <w:rFonts w:cs="Times New Roman"/>
          <w:b/>
          <w:bCs/>
          <w:sz w:val="21"/>
          <w:szCs w:val="21"/>
        </w:rPr>
        <w:t>外观质量要求</w:t>
      </w:r>
    </w:p>
    <w:tbl>
      <w:tblPr>
        <w:tblStyle w:val="17"/>
        <w:tblW w:w="7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783"/>
        <w:gridCol w:w="1247"/>
      </w:tblGrid>
      <w:tr>
        <w:tblPrEx>
          <w:tblCellMar>
            <w:top w:w="0" w:type="dxa"/>
            <w:left w:w="108" w:type="dxa"/>
            <w:bottom w:w="0" w:type="dxa"/>
            <w:right w:w="108" w:type="dxa"/>
          </w:tblCellMar>
        </w:tblPrEx>
        <w:trPr>
          <w:trHeight w:val="454" w:hRule="atLeast"/>
          <w:jc w:val="center"/>
        </w:trPr>
        <w:tc>
          <w:tcPr>
            <w:tcW w:w="850" w:type="dxa"/>
            <w:vAlign w:val="center"/>
          </w:tcPr>
          <w:p>
            <w:pPr>
              <w:snapToGrid w:val="0"/>
              <w:spacing w:line="240" w:lineRule="auto"/>
              <w:jc w:val="center"/>
              <w:rPr>
                <w:sz w:val="21"/>
                <w:szCs w:val="21"/>
              </w:rPr>
            </w:pPr>
            <w:r>
              <w:rPr>
                <w:rFonts w:hint="eastAsia"/>
                <w:sz w:val="21"/>
                <w:szCs w:val="21"/>
              </w:rPr>
              <w:t>序号</w:t>
            </w:r>
          </w:p>
        </w:tc>
        <w:tc>
          <w:tcPr>
            <w:tcW w:w="5783" w:type="dxa"/>
            <w:vAlign w:val="center"/>
          </w:tcPr>
          <w:p>
            <w:pPr>
              <w:snapToGrid w:val="0"/>
              <w:spacing w:line="240" w:lineRule="auto"/>
              <w:jc w:val="center"/>
              <w:rPr>
                <w:sz w:val="21"/>
                <w:szCs w:val="21"/>
              </w:rPr>
            </w:pPr>
            <w:r>
              <w:rPr>
                <w:rFonts w:hint="eastAsia"/>
                <w:sz w:val="21"/>
                <w:szCs w:val="21"/>
              </w:rPr>
              <w:t>项目</w:t>
            </w:r>
          </w:p>
        </w:tc>
        <w:tc>
          <w:tcPr>
            <w:tcW w:w="1247" w:type="dxa"/>
            <w:vAlign w:val="center"/>
          </w:tcPr>
          <w:p>
            <w:pPr>
              <w:snapToGrid w:val="0"/>
              <w:spacing w:line="240" w:lineRule="auto"/>
              <w:jc w:val="center"/>
              <w:rPr>
                <w:sz w:val="21"/>
                <w:szCs w:val="21"/>
              </w:rPr>
            </w:pPr>
            <w:r>
              <w:rPr>
                <w:rFonts w:hint="eastAsia"/>
                <w:sz w:val="2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pPr>
              <w:snapToGrid w:val="0"/>
              <w:spacing w:line="240" w:lineRule="auto"/>
              <w:jc w:val="center"/>
              <w:rPr>
                <w:sz w:val="21"/>
                <w:szCs w:val="21"/>
              </w:rPr>
            </w:pPr>
            <w:r>
              <w:rPr>
                <w:rFonts w:hint="eastAsia"/>
                <w:sz w:val="21"/>
                <w:szCs w:val="21"/>
              </w:rPr>
              <w:t>1</w:t>
            </w:r>
          </w:p>
        </w:tc>
        <w:tc>
          <w:tcPr>
            <w:tcW w:w="5783" w:type="dxa"/>
            <w:vAlign w:val="center"/>
          </w:tcPr>
          <w:p>
            <w:pPr>
              <w:snapToGrid w:val="0"/>
              <w:spacing w:line="240" w:lineRule="auto"/>
              <w:jc w:val="center"/>
              <w:rPr>
                <w:sz w:val="21"/>
                <w:szCs w:val="21"/>
              </w:rPr>
            </w:pPr>
            <w:r>
              <w:rPr>
                <w:rFonts w:hint="eastAsia"/>
                <w:sz w:val="21"/>
                <w:szCs w:val="21"/>
              </w:rPr>
              <w:t>板面外露筋；飞边毛刺；板面泛霜返碱；贯通性裂缝</w:t>
            </w:r>
          </w:p>
        </w:tc>
        <w:tc>
          <w:tcPr>
            <w:tcW w:w="1247" w:type="dxa"/>
            <w:vAlign w:val="center"/>
          </w:tcPr>
          <w:p>
            <w:pPr>
              <w:snapToGrid w:val="0"/>
              <w:spacing w:line="240" w:lineRule="auto"/>
              <w:jc w:val="center"/>
              <w:rPr>
                <w:sz w:val="21"/>
                <w:szCs w:val="21"/>
              </w:rPr>
            </w:pPr>
            <w:r>
              <w:rPr>
                <w:rFonts w:hint="eastAsia"/>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pPr>
              <w:snapToGrid w:val="0"/>
              <w:spacing w:line="240" w:lineRule="auto"/>
              <w:jc w:val="center"/>
              <w:rPr>
                <w:sz w:val="21"/>
                <w:szCs w:val="21"/>
              </w:rPr>
            </w:pPr>
            <w:r>
              <w:rPr>
                <w:rFonts w:hint="eastAsia"/>
                <w:sz w:val="21"/>
                <w:szCs w:val="21"/>
              </w:rPr>
              <w:t>2</w:t>
            </w:r>
          </w:p>
        </w:tc>
        <w:tc>
          <w:tcPr>
            <w:tcW w:w="5783" w:type="dxa"/>
            <w:vAlign w:val="center"/>
          </w:tcPr>
          <w:p>
            <w:pPr>
              <w:snapToGrid w:val="0"/>
              <w:spacing w:line="240" w:lineRule="auto"/>
              <w:jc w:val="center"/>
              <w:rPr>
                <w:sz w:val="21"/>
                <w:szCs w:val="21"/>
              </w:rPr>
            </w:pPr>
            <w:r>
              <w:rPr>
                <w:rFonts w:hint="eastAsia"/>
                <w:sz w:val="21"/>
                <w:szCs w:val="21"/>
              </w:rPr>
              <w:t>板面裂缝，长度50 mm~100 mm，宽度0.5 mm～1.0 mm</w:t>
            </w:r>
          </w:p>
        </w:tc>
        <w:tc>
          <w:tcPr>
            <w:tcW w:w="1247" w:type="dxa"/>
            <w:vAlign w:val="center"/>
          </w:tcPr>
          <w:p>
            <w:pPr>
              <w:snapToGrid w:val="0"/>
              <w:spacing w:line="240" w:lineRule="auto"/>
              <w:jc w:val="center"/>
              <w:rPr>
                <w:sz w:val="21"/>
                <w:szCs w:val="21"/>
              </w:rPr>
            </w:pPr>
            <w:r>
              <w:rPr>
                <w:rFonts w:hint="eastAsia"/>
                <w:sz w:val="21"/>
                <w:szCs w:val="21"/>
              </w:rPr>
              <w:t>≤2处/板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pPr>
              <w:snapToGrid w:val="0"/>
              <w:spacing w:line="240" w:lineRule="auto"/>
              <w:jc w:val="center"/>
              <w:rPr>
                <w:sz w:val="21"/>
                <w:szCs w:val="21"/>
              </w:rPr>
            </w:pPr>
            <w:r>
              <w:rPr>
                <w:rFonts w:hint="eastAsia"/>
                <w:sz w:val="21"/>
                <w:szCs w:val="21"/>
              </w:rPr>
              <w:t>3</w:t>
            </w:r>
          </w:p>
        </w:tc>
        <w:tc>
          <w:tcPr>
            <w:tcW w:w="5783" w:type="dxa"/>
            <w:vAlign w:val="center"/>
          </w:tcPr>
          <w:p>
            <w:pPr>
              <w:snapToGrid w:val="0"/>
              <w:spacing w:line="240" w:lineRule="auto"/>
              <w:jc w:val="center"/>
              <w:rPr>
                <w:sz w:val="21"/>
                <w:szCs w:val="21"/>
              </w:rPr>
            </w:pPr>
            <w:r>
              <w:rPr>
                <w:rFonts w:hint="eastAsia"/>
                <w:sz w:val="21"/>
                <w:szCs w:val="21"/>
              </w:rPr>
              <w:t>蜂窝气孔，长径5 mm~30 mm</w:t>
            </w:r>
          </w:p>
        </w:tc>
        <w:tc>
          <w:tcPr>
            <w:tcW w:w="1247" w:type="dxa"/>
            <w:vAlign w:val="center"/>
          </w:tcPr>
          <w:p>
            <w:pPr>
              <w:snapToGrid w:val="0"/>
              <w:spacing w:line="240" w:lineRule="auto"/>
              <w:jc w:val="center"/>
              <w:rPr>
                <w:sz w:val="21"/>
                <w:szCs w:val="21"/>
              </w:rPr>
            </w:pPr>
            <w:r>
              <w:rPr>
                <w:rFonts w:hint="eastAsia"/>
                <w:sz w:val="21"/>
                <w:szCs w:val="21"/>
              </w:rPr>
              <w:t>≤3处/板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pPr>
              <w:snapToGrid w:val="0"/>
              <w:spacing w:line="240" w:lineRule="auto"/>
              <w:jc w:val="center"/>
              <w:rPr>
                <w:sz w:val="21"/>
                <w:szCs w:val="21"/>
              </w:rPr>
            </w:pPr>
            <w:r>
              <w:rPr>
                <w:rFonts w:hint="eastAsia"/>
                <w:sz w:val="21"/>
                <w:szCs w:val="21"/>
              </w:rPr>
              <w:t>4</w:t>
            </w:r>
          </w:p>
        </w:tc>
        <w:tc>
          <w:tcPr>
            <w:tcW w:w="5783" w:type="dxa"/>
            <w:vAlign w:val="center"/>
          </w:tcPr>
          <w:p>
            <w:pPr>
              <w:snapToGrid w:val="0"/>
              <w:spacing w:line="240" w:lineRule="auto"/>
              <w:jc w:val="center"/>
              <w:rPr>
                <w:sz w:val="21"/>
                <w:szCs w:val="21"/>
              </w:rPr>
            </w:pPr>
            <w:r>
              <w:rPr>
                <w:rFonts w:hint="eastAsia"/>
                <w:sz w:val="21"/>
                <w:szCs w:val="21"/>
              </w:rPr>
              <w:t>缺棱掉角，宽度×长度10mm×25mm~20mm×30mm</w:t>
            </w:r>
          </w:p>
        </w:tc>
        <w:tc>
          <w:tcPr>
            <w:tcW w:w="1247" w:type="dxa"/>
            <w:vAlign w:val="center"/>
          </w:tcPr>
          <w:p>
            <w:pPr>
              <w:snapToGrid w:val="0"/>
              <w:spacing w:line="240" w:lineRule="auto"/>
              <w:jc w:val="center"/>
              <w:rPr>
                <w:sz w:val="21"/>
                <w:szCs w:val="21"/>
              </w:rPr>
            </w:pPr>
            <w:r>
              <w:rPr>
                <w:rFonts w:hint="eastAsia"/>
                <w:sz w:val="21"/>
                <w:szCs w:val="21"/>
              </w:rPr>
              <w:t>≤2处/板</w:t>
            </w:r>
          </w:p>
        </w:tc>
      </w:tr>
    </w:tbl>
    <w:p>
      <w:pPr>
        <w:snapToGrid w:val="0"/>
        <w:rPr>
          <w:rStyle w:val="22"/>
          <w:rFonts w:ascii="Times New Roman" w:hAnsi="Times New Roman" w:cs="Times New Roman"/>
        </w:rPr>
      </w:pPr>
    </w:p>
    <w:p>
      <w:pPr>
        <w:snapToGrid w:val="0"/>
        <w:rPr>
          <w:rFonts w:cs="Times New Roman"/>
        </w:rPr>
      </w:pPr>
      <w:r>
        <w:rPr>
          <w:rStyle w:val="22"/>
          <w:rFonts w:ascii="Times New Roman" w:hAnsi="Times New Roman" w:cs="Times New Roman"/>
        </w:rPr>
        <w:t>6.3.3</w:t>
      </w:r>
      <w:r>
        <w:rPr>
          <w:rFonts w:cs="Times New Roman"/>
        </w:rPr>
        <w:t>  </w:t>
      </w:r>
      <w:r>
        <w:rPr>
          <w:rFonts w:hint="eastAsia" w:cs="Times New Roman"/>
        </w:rPr>
        <w:t>预制</w:t>
      </w:r>
      <w:r>
        <w:rPr>
          <w:rFonts w:cs="Times New Roman"/>
        </w:rPr>
        <w:t>构件不应有影响结构性能和安装、使用功能的形状偏差和尺寸偏差，形状偏差和尺寸偏差应符合表6.3.3的要求。</w:t>
      </w:r>
    </w:p>
    <w:p>
      <w:pPr>
        <w:snapToGrid w:val="0"/>
        <w:ind w:firstLine="480" w:firstLineChars="200"/>
        <w:rPr>
          <w:rFonts w:cs="Times New Roman"/>
        </w:rPr>
      </w:pPr>
      <w:r>
        <w:rPr>
          <w:rFonts w:cs="Times New Roman"/>
        </w:rPr>
        <w:t>检查数量：每1000m个为一批，每批随机抽取1%，且不少于3个。</w:t>
      </w:r>
    </w:p>
    <w:p>
      <w:pPr>
        <w:snapToGrid w:val="0"/>
        <w:ind w:firstLine="480" w:firstLineChars="200"/>
        <w:rPr>
          <w:rFonts w:cs="Times New Roman"/>
        </w:rPr>
      </w:pPr>
      <w:r>
        <w:rPr>
          <w:rFonts w:cs="Times New Roman"/>
        </w:rPr>
        <w:t>检验方法：观察，尺量；检查处理记录。</w:t>
      </w:r>
    </w:p>
    <w:p>
      <w:pPr>
        <w:snapToGrid w:val="0"/>
        <w:ind w:left="422" w:hanging="422" w:hangingChars="200"/>
        <w:jc w:val="center"/>
        <w:rPr>
          <w:rFonts w:cs="Times New Roman"/>
        </w:rPr>
      </w:pPr>
      <w:r>
        <w:rPr>
          <w:rFonts w:cs="Times New Roman"/>
          <w:b/>
          <w:bCs/>
          <w:sz w:val="21"/>
          <w:szCs w:val="21"/>
        </w:rPr>
        <w:t>表6.3.3 墙面板外形状、尺寸允许偏差</w:t>
      </w:r>
    </w:p>
    <w:tbl>
      <w:tblPr>
        <w:tblStyle w:val="17"/>
        <w:tblW w:w="7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6"/>
        <w:gridCol w:w="2877"/>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63" w:type="dxa"/>
            <w:gridSpan w:val="2"/>
            <w:vAlign w:val="center"/>
          </w:tcPr>
          <w:p>
            <w:pPr>
              <w:snapToGrid w:val="0"/>
              <w:spacing w:line="240" w:lineRule="auto"/>
              <w:jc w:val="center"/>
              <w:rPr>
                <w:rFonts w:cs="Times New Roman"/>
                <w:sz w:val="21"/>
                <w:szCs w:val="21"/>
              </w:rPr>
            </w:pPr>
            <w:r>
              <w:rPr>
                <w:rFonts w:cs="Times New Roman"/>
                <w:sz w:val="21"/>
                <w:szCs w:val="21"/>
              </w:rPr>
              <w:t>项目</w:t>
            </w:r>
          </w:p>
        </w:tc>
        <w:tc>
          <w:tcPr>
            <w:tcW w:w="2824" w:type="dxa"/>
            <w:vAlign w:val="center"/>
          </w:tcPr>
          <w:p>
            <w:pPr>
              <w:snapToGrid w:val="0"/>
              <w:spacing w:line="240" w:lineRule="auto"/>
              <w:jc w:val="center"/>
              <w:rPr>
                <w:rFonts w:cs="Times New Roman"/>
                <w:sz w:val="21"/>
                <w:szCs w:val="21"/>
              </w:rPr>
            </w:pPr>
            <w:r>
              <w:rPr>
                <w:rFonts w:hint="eastAsia" w:cs="Times New Roman"/>
                <w:sz w:val="21"/>
                <w:szCs w:val="21"/>
              </w:rPr>
              <w:t>允许</w:t>
            </w:r>
            <w:r>
              <w:rPr>
                <w:rFonts w:cs="Times New Roman"/>
                <w:sz w:val="21"/>
                <w:szCs w:val="21"/>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63" w:type="dxa"/>
            <w:gridSpan w:val="2"/>
            <w:vAlign w:val="center"/>
          </w:tcPr>
          <w:p>
            <w:pPr>
              <w:snapToGrid w:val="0"/>
              <w:spacing w:line="240" w:lineRule="auto"/>
              <w:jc w:val="center"/>
              <w:rPr>
                <w:rFonts w:cs="Times New Roman"/>
                <w:sz w:val="21"/>
                <w:szCs w:val="21"/>
              </w:rPr>
            </w:pPr>
            <w:r>
              <w:rPr>
                <w:rFonts w:cs="Times New Roman"/>
                <w:sz w:val="21"/>
                <w:szCs w:val="21"/>
              </w:rPr>
              <w:t>厚度不均匀度</w:t>
            </w:r>
          </w:p>
        </w:tc>
        <w:tc>
          <w:tcPr>
            <w:tcW w:w="2824" w:type="dxa"/>
            <w:vAlign w:val="center"/>
          </w:tcPr>
          <w:p>
            <w:pPr>
              <w:snapToGrid w:val="0"/>
              <w:spacing w:line="240" w:lineRule="auto"/>
              <w:jc w:val="center"/>
              <w:rPr>
                <w:rFonts w:cs="Times New Roman"/>
                <w:sz w:val="21"/>
                <w:szCs w:val="21"/>
              </w:rPr>
            </w:pPr>
            <w:r>
              <w:rPr>
                <w:rFonts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63" w:type="dxa"/>
            <w:gridSpan w:val="2"/>
            <w:vAlign w:val="center"/>
          </w:tcPr>
          <w:p>
            <w:pPr>
              <w:snapToGrid w:val="0"/>
              <w:spacing w:line="240" w:lineRule="auto"/>
              <w:jc w:val="center"/>
              <w:rPr>
                <w:rFonts w:cs="Times New Roman"/>
                <w:sz w:val="21"/>
                <w:szCs w:val="21"/>
              </w:rPr>
            </w:pPr>
            <w:r>
              <w:rPr>
                <w:rFonts w:cs="Times New Roman"/>
                <w:sz w:val="21"/>
                <w:szCs w:val="21"/>
              </w:rPr>
              <w:t>边缘直线度</w:t>
            </w:r>
          </w:p>
        </w:tc>
        <w:tc>
          <w:tcPr>
            <w:tcW w:w="2824" w:type="dxa"/>
            <w:vAlign w:val="center"/>
          </w:tcPr>
          <w:p>
            <w:pPr>
              <w:snapToGrid w:val="0"/>
              <w:spacing w:line="240" w:lineRule="auto"/>
              <w:jc w:val="center"/>
              <w:rPr>
                <w:rFonts w:cs="Times New Roman"/>
                <w:sz w:val="21"/>
                <w:szCs w:val="21"/>
              </w:rPr>
            </w:pPr>
            <w:r>
              <w:rPr>
                <w:rFonts w:cs="Times New Roman"/>
                <w:sz w:val="21"/>
                <w:szCs w:val="21"/>
              </w:rPr>
              <w:t>≤2mm/m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vMerge w:val="restart"/>
            <w:vAlign w:val="center"/>
          </w:tcPr>
          <w:p>
            <w:pPr>
              <w:snapToGrid w:val="0"/>
              <w:spacing w:line="240" w:lineRule="auto"/>
              <w:jc w:val="center"/>
              <w:rPr>
                <w:rFonts w:cs="Times New Roman"/>
                <w:sz w:val="21"/>
                <w:szCs w:val="21"/>
              </w:rPr>
            </w:pPr>
            <w:r>
              <w:rPr>
                <w:rFonts w:cs="Times New Roman"/>
                <w:sz w:val="21"/>
                <w:szCs w:val="21"/>
              </w:rPr>
              <w:t>长度L（宽度H）</w:t>
            </w:r>
          </w:p>
        </w:tc>
        <w:tc>
          <w:tcPr>
            <w:tcW w:w="2877" w:type="dxa"/>
            <w:vAlign w:val="center"/>
          </w:tcPr>
          <w:p>
            <w:pPr>
              <w:snapToGrid w:val="0"/>
              <w:spacing w:line="240" w:lineRule="auto"/>
              <w:jc w:val="center"/>
              <w:rPr>
                <w:rFonts w:cs="Times New Roman"/>
                <w:sz w:val="21"/>
                <w:szCs w:val="21"/>
              </w:rPr>
            </w:pPr>
            <w:r>
              <w:rPr>
                <w:rFonts w:cs="Times New Roman"/>
                <w:sz w:val="21"/>
                <w:szCs w:val="21"/>
              </w:rPr>
              <w:t>L（H）≤1220mm</w:t>
            </w:r>
          </w:p>
        </w:tc>
        <w:tc>
          <w:tcPr>
            <w:tcW w:w="2824" w:type="dxa"/>
            <w:vAlign w:val="center"/>
          </w:tcPr>
          <w:p>
            <w:pPr>
              <w:snapToGrid w:val="0"/>
              <w:spacing w:line="240" w:lineRule="auto"/>
              <w:jc w:val="center"/>
              <w:rPr>
                <w:rFonts w:cs="Times New Roman"/>
                <w:sz w:val="21"/>
                <w:szCs w:val="21"/>
              </w:rPr>
            </w:pPr>
            <w:r>
              <w:rPr>
                <w:rFonts w:cs="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vMerge w:val="continue"/>
            <w:vAlign w:val="center"/>
          </w:tcPr>
          <w:p>
            <w:pPr>
              <w:snapToGrid w:val="0"/>
              <w:spacing w:line="240" w:lineRule="auto"/>
              <w:jc w:val="center"/>
              <w:rPr>
                <w:rFonts w:cs="Times New Roman"/>
                <w:sz w:val="21"/>
                <w:szCs w:val="21"/>
              </w:rPr>
            </w:pPr>
          </w:p>
        </w:tc>
        <w:tc>
          <w:tcPr>
            <w:tcW w:w="2877" w:type="dxa"/>
            <w:vAlign w:val="center"/>
          </w:tcPr>
          <w:p>
            <w:pPr>
              <w:snapToGrid w:val="0"/>
              <w:spacing w:line="240" w:lineRule="auto"/>
              <w:jc w:val="center"/>
              <w:rPr>
                <w:rFonts w:cs="Times New Roman"/>
                <w:sz w:val="21"/>
                <w:szCs w:val="21"/>
              </w:rPr>
            </w:pPr>
            <w:r>
              <w:rPr>
                <w:rFonts w:cs="Times New Roman"/>
                <w:sz w:val="21"/>
                <w:szCs w:val="21"/>
              </w:rPr>
              <w:t>1220mm&lt;L（H）&lt;2440mm</w:t>
            </w:r>
          </w:p>
        </w:tc>
        <w:tc>
          <w:tcPr>
            <w:tcW w:w="2824" w:type="dxa"/>
            <w:vAlign w:val="center"/>
          </w:tcPr>
          <w:p>
            <w:pPr>
              <w:snapToGrid w:val="0"/>
              <w:spacing w:line="240" w:lineRule="auto"/>
              <w:jc w:val="center"/>
              <w:rPr>
                <w:rFonts w:cs="Times New Roman"/>
                <w:sz w:val="21"/>
                <w:szCs w:val="21"/>
              </w:rPr>
            </w:pPr>
            <w:r>
              <w:rPr>
                <w:rFonts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vMerge w:val="continue"/>
            <w:vAlign w:val="center"/>
          </w:tcPr>
          <w:p>
            <w:pPr>
              <w:snapToGrid w:val="0"/>
              <w:spacing w:line="240" w:lineRule="auto"/>
              <w:jc w:val="center"/>
              <w:rPr>
                <w:rFonts w:cs="Times New Roman"/>
                <w:sz w:val="21"/>
                <w:szCs w:val="21"/>
              </w:rPr>
            </w:pPr>
          </w:p>
        </w:tc>
        <w:tc>
          <w:tcPr>
            <w:tcW w:w="2877" w:type="dxa"/>
            <w:vAlign w:val="center"/>
          </w:tcPr>
          <w:p>
            <w:pPr>
              <w:snapToGrid w:val="0"/>
              <w:spacing w:line="240" w:lineRule="auto"/>
              <w:jc w:val="center"/>
              <w:rPr>
                <w:rFonts w:cs="Times New Roman"/>
                <w:sz w:val="21"/>
                <w:szCs w:val="21"/>
              </w:rPr>
            </w:pPr>
            <w:r>
              <w:rPr>
                <w:rFonts w:cs="Times New Roman"/>
                <w:sz w:val="21"/>
                <w:szCs w:val="21"/>
              </w:rPr>
              <w:t>L≥2440mm</w:t>
            </w:r>
          </w:p>
        </w:tc>
        <w:tc>
          <w:tcPr>
            <w:tcW w:w="2824" w:type="dxa"/>
            <w:vAlign w:val="center"/>
          </w:tcPr>
          <w:p>
            <w:pPr>
              <w:snapToGrid w:val="0"/>
              <w:spacing w:line="240" w:lineRule="auto"/>
              <w:jc w:val="center"/>
              <w:rPr>
                <w:rFonts w:cs="Times New Roman"/>
                <w:sz w:val="21"/>
                <w:szCs w:val="21"/>
              </w:rPr>
            </w:pPr>
            <w:r>
              <w:rPr>
                <w:rFonts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vMerge w:val="restart"/>
            <w:vAlign w:val="center"/>
          </w:tcPr>
          <w:p>
            <w:pPr>
              <w:snapToGrid w:val="0"/>
              <w:spacing w:line="240" w:lineRule="auto"/>
              <w:jc w:val="center"/>
              <w:rPr>
                <w:rFonts w:cs="Times New Roman"/>
                <w:sz w:val="21"/>
                <w:szCs w:val="21"/>
              </w:rPr>
            </w:pPr>
            <w:r>
              <w:rPr>
                <w:rFonts w:cs="Times New Roman"/>
                <w:sz w:val="21"/>
                <w:szCs w:val="21"/>
              </w:rPr>
              <w:t>对角线差</w:t>
            </w:r>
          </w:p>
        </w:tc>
        <w:tc>
          <w:tcPr>
            <w:tcW w:w="2877" w:type="dxa"/>
            <w:vAlign w:val="center"/>
          </w:tcPr>
          <w:p>
            <w:pPr>
              <w:snapToGrid w:val="0"/>
              <w:spacing w:line="240" w:lineRule="auto"/>
              <w:jc w:val="center"/>
              <w:rPr>
                <w:rFonts w:cs="Times New Roman"/>
                <w:sz w:val="21"/>
                <w:szCs w:val="21"/>
              </w:rPr>
            </w:pPr>
            <w:r>
              <w:rPr>
                <w:rFonts w:cs="Times New Roman"/>
                <w:sz w:val="21"/>
                <w:szCs w:val="21"/>
              </w:rPr>
              <w:t>L≤1220mm</w:t>
            </w:r>
          </w:p>
        </w:tc>
        <w:tc>
          <w:tcPr>
            <w:tcW w:w="2824" w:type="dxa"/>
            <w:vAlign w:val="center"/>
          </w:tcPr>
          <w:p>
            <w:pPr>
              <w:snapToGrid w:val="0"/>
              <w:spacing w:line="240" w:lineRule="auto"/>
              <w:jc w:val="center"/>
              <w:rPr>
                <w:rFonts w:cs="Times New Roman"/>
                <w:sz w:val="21"/>
                <w:szCs w:val="21"/>
              </w:rPr>
            </w:pPr>
            <w:r>
              <w:rPr>
                <w:rFonts w:cs="Times New Roman"/>
                <w:sz w:val="21"/>
                <w:szCs w:val="21"/>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vMerge w:val="continue"/>
            <w:vAlign w:val="center"/>
          </w:tcPr>
          <w:p>
            <w:pPr>
              <w:snapToGrid w:val="0"/>
              <w:spacing w:line="240" w:lineRule="auto"/>
              <w:jc w:val="center"/>
              <w:rPr>
                <w:rFonts w:cs="Times New Roman"/>
                <w:sz w:val="21"/>
                <w:szCs w:val="21"/>
              </w:rPr>
            </w:pPr>
          </w:p>
        </w:tc>
        <w:tc>
          <w:tcPr>
            <w:tcW w:w="2877" w:type="dxa"/>
            <w:vAlign w:val="center"/>
          </w:tcPr>
          <w:p>
            <w:pPr>
              <w:snapToGrid w:val="0"/>
              <w:spacing w:line="240" w:lineRule="auto"/>
              <w:jc w:val="center"/>
              <w:rPr>
                <w:rFonts w:cs="Times New Roman"/>
                <w:sz w:val="21"/>
                <w:szCs w:val="21"/>
              </w:rPr>
            </w:pPr>
            <w:r>
              <w:rPr>
                <w:rFonts w:cs="Times New Roman"/>
                <w:sz w:val="21"/>
                <w:szCs w:val="21"/>
              </w:rPr>
              <w:t>1220mm&lt;L&lt;2440mm</w:t>
            </w:r>
          </w:p>
        </w:tc>
        <w:tc>
          <w:tcPr>
            <w:tcW w:w="2824" w:type="dxa"/>
            <w:vAlign w:val="center"/>
          </w:tcPr>
          <w:p>
            <w:pPr>
              <w:snapToGrid w:val="0"/>
              <w:spacing w:line="240" w:lineRule="auto"/>
              <w:jc w:val="center"/>
              <w:rPr>
                <w:rFonts w:cs="Times New Roman"/>
                <w:sz w:val="21"/>
                <w:szCs w:val="21"/>
              </w:rPr>
            </w:pPr>
            <w:r>
              <w:rPr>
                <w:rFonts w:cs="Times New Roman"/>
                <w:sz w:val="21"/>
                <w:szCs w:val="21"/>
              </w:rPr>
              <w:t>≤4mm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vMerge w:val="continue"/>
            <w:vAlign w:val="center"/>
          </w:tcPr>
          <w:p>
            <w:pPr>
              <w:snapToGrid w:val="0"/>
              <w:spacing w:line="240" w:lineRule="auto"/>
              <w:jc w:val="center"/>
              <w:rPr>
                <w:rFonts w:cs="Times New Roman"/>
                <w:sz w:val="21"/>
                <w:szCs w:val="21"/>
              </w:rPr>
            </w:pPr>
          </w:p>
        </w:tc>
        <w:tc>
          <w:tcPr>
            <w:tcW w:w="2877" w:type="dxa"/>
            <w:vAlign w:val="center"/>
          </w:tcPr>
          <w:p>
            <w:pPr>
              <w:snapToGrid w:val="0"/>
              <w:spacing w:line="240" w:lineRule="auto"/>
              <w:jc w:val="center"/>
              <w:rPr>
                <w:rFonts w:cs="Times New Roman"/>
                <w:sz w:val="21"/>
                <w:szCs w:val="21"/>
              </w:rPr>
            </w:pPr>
            <w:r>
              <w:rPr>
                <w:rFonts w:cs="Times New Roman"/>
                <w:sz w:val="21"/>
                <w:szCs w:val="21"/>
              </w:rPr>
              <w:t>L≥2440mm</w:t>
            </w:r>
          </w:p>
        </w:tc>
        <w:tc>
          <w:tcPr>
            <w:tcW w:w="2824" w:type="dxa"/>
            <w:vAlign w:val="center"/>
          </w:tcPr>
          <w:p>
            <w:pPr>
              <w:snapToGrid w:val="0"/>
              <w:spacing w:line="240" w:lineRule="auto"/>
              <w:jc w:val="center"/>
              <w:rPr>
                <w:rFonts w:cs="Times New Roman"/>
                <w:sz w:val="21"/>
                <w:szCs w:val="21"/>
              </w:rPr>
            </w:pPr>
            <w:r>
              <w:rPr>
                <w:rFonts w:cs="Times New Roman"/>
                <w:sz w:val="21"/>
                <w:szCs w:val="21"/>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63" w:type="dxa"/>
            <w:gridSpan w:val="2"/>
            <w:vAlign w:val="center"/>
          </w:tcPr>
          <w:p>
            <w:pPr>
              <w:snapToGrid w:val="0"/>
              <w:spacing w:line="240" w:lineRule="auto"/>
              <w:jc w:val="center"/>
              <w:rPr>
                <w:rFonts w:cs="Times New Roman"/>
                <w:sz w:val="21"/>
                <w:szCs w:val="21"/>
              </w:rPr>
            </w:pPr>
            <w:r>
              <w:rPr>
                <w:rFonts w:cs="Times New Roman"/>
                <w:sz w:val="21"/>
                <w:szCs w:val="21"/>
              </w:rPr>
              <w:t>平整度</w:t>
            </w:r>
          </w:p>
        </w:tc>
        <w:tc>
          <w:tcPr>
            <w:tcW w:w="2824" w:type="dxa"/>
            <w:vAlign w:val="center"/>
          </w:tcPr>
          <w:p>
            <w:pPr>
              <w:snapToGrid w:val="0"/>
              <w:spacing w:line="240" w:lineRule="auto"/>
              <w:jc w:val="center"/>
              <w:rPr>
                <w:rFonts w:cs="Times New Roman"/>
                <w:sz w:val="21"/>
                <w:szCs w:val="21"/>
              </w:rPr>
            </w:pPr>
            <w:r>
              <w:rPr>
                <w:rFonts w:cs="Times New Roman"/>
                <w:sz w:val="21"/>
                <w:szCs w:val="21"/>
              </w:rPr>
              <w:t>≤0.3mm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63" w:type="dxa"/>
            <w:gridSpan w:val="2"/>
            <w:vAlign w:val="center"/>
          </w:tcPr>
          <w:p>
            <w:pPr>
              <w:snapToGrid w:val="0"/>
              <w:spacing w:line="240" w:lineRule="auto"/>
              <w:jc w:val="center"/>
              <w:rPr>
                <w:rFonts w:cs="Times New Roman"/>
                <w:sz w:val="21"/>
                <w:szCs w:val="21"/>
              </w:rPr>
            </w:pPr>
            <w:r>
              <w:rPr>
                <w:rFonts w:cs="Times New Roman"/>
                <w:sz w:val="21"/>
                <w:szCs w:val="21"/>
              </w:rPr>
              <w:t>侧向弯曲度</w:t>
            </w:r>
          </w:p>
        </w:tc>
        <w:tc>
          <w:tcPr>
            <w:tcW w:w="2824" w:type="dxa"/>
            <w:vAlign w:val="center"/>
          </w:tcPr>
          <w:p>
            <w:pPr>
              <w:snapToGrid w:val="0"/>
              <w:spacing w:line="240" w:lineRule="auto"/>
              <w:jc w:val="center"/>
              <w:rPr>
                <w:rFonts w:cs="Times New Roman"/>
                <w:sz w:val="21"/>
                <w:szCs w:val="21"/>
              </w:rPr>
            </w:pPr>
            <w:r>
              <w:rPr>
                <w:rFonts w:cs="Times New Roman"/>
                <w:sz w:val="21"/>
                <w:szCs w:val="21"/>
              </w:rPr>
              <w:t>≤L/1000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63" w:type="dxa"/>
            <w:gridSpan w:val="2"/>
            <w:vAlign w:val="center"/>
          </w:tcPr>
          <w:p>
            <w:pPr>
              <w:snapToGrid w:val="0"/>
              <w:spacing w:line="240" w:lineRule="auto"/>
              <w:jc w:val="center"/>
              <w:rPr>
                <w:rFonts w:cs="Times New Roman"/>
                <w:sz w:val="21"/>
                <w:szCs w:val="21"/>
              </w:rPr>
            </w:pPr>
            <w:r>
              <w:rPr>
                <w:rFonts w:cs="Times New Roman"/>
                <w:sz w:val="21"/>
                <w:szCs w:val="21"/>
              </w:rPr>
              <w:t>厚度</w:t>
            </w:r>
          </w:p>
        </w:tc>
        <w:tc>
          <w:tcPr>
            <w:tcW w:w="2824" w:type="dxa"/>
            <w:vAlign w:val="center"/>
          </w:tcPr>
          <w:p>
            <w:pPr>
              <w:snapToGrid w:val="0"/>
              <w:spacing w:line="240" w:lineRule="auto"/>
              <w:jc w:val="center"/>
              <w:rPr>
                <w:rFonts w:cs="Times New Roman"/>
                <w:sz w:val="21"/>
                <w:szCs w:val="21"/>
              </w:rPr>
            </w:pPr>
            <w:r>
              <w:rPr>
                <w:rFonts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63" w:type="dxa"/>
            <w:gridSpan w:val="2"/>
            <w:vAlign w:val="center"/>
          </w:tcPr>
          <w:p>
            <w:pPr>
              <w:snapToGrid w:val="0"/>
              <w:spacing w:line="240" w:lineRule="auto"/>
              <w:jc w:val="center"/>
              <w:rPr>
                <w:rFonts w:cs="Times New Roman"/>
                <w:sz w:val="21"/>
                <w:szCs w:val="21"/>
              </w:rPr>
            </w:pPr>
            <w:r>
              <w:rPr>
                <w:rFonts w:cs="Times New Roman"/>
                <w:sz w:val="21"/>
                <w:szCs w:val="21"/>
              </w:rPr>
              <w:t>孔位</w:t>
            </w:r>
          </w:p>
        </w:tc>
        <w:tc>
          <w:tcPr>
            <w:tcW w:w="2824" w:type="dxa"/>
            <w:vAlign w:val="center"/>
          </w:tcPr>
          <w:p>
            <w:pPr>
              <w:snapToGrid w:val="0"/>
              <w:spacing w:line="240" w:lineRule="auto"/>
              <w:jc w:val="center"/>
              <w:rPr>
                <w:rFonts w:cs="Times New Roman"/>
                <w:sz w:val="21"/>
                <w:szCs w:val="21"/>
              </w:rPr>
            </w:pPr>
            <w:r>
              <w:rPr>
                <w:rFonts w:cs="Times New Roman"/>
                <w:sz w:val="21"/>
                <w:szCs w:val="21"/>
              </w:rPr>
              <w:t>±2</w:t>
            </w:r>
          </w:p>
        </w:tc>
      </w:tr>
    </w:tbl>
    <w:p>
      <w:pPr>
        <w:snapToGrid w:val="0"/>
        <w:rPr>
          <w:rFonts w:cs="Times New Roman"/>
        </w:rPr>
      </w:pPr>
      <w:r>
        <w:rPr>
          <w:rStyle w:val="22"/>
          <w:rFonts w:ascii="Times New Roman" w:hAnsi="Times New Roman" w:cs="Times New Roman"/>
        </w:rPr>
        <w:t>6.3.4</w:t>
      </w:r>
      <w:r>
        <w:rPr>
          <w:rFonts w:cs="Times New Roman"/>
        </w:rPr>
        <w:t>  墙面板上的预埋管线等的规格和数量以及预留孔、预留洞的数量应符合设计要求。</w:t>
      </w:r>
    </w:p>
    <w:p>
      <w:pPr>
        <w:snapToGrid w:val="0"/>
        <w:ind w:firstLine="480" w:firstLineChars="200"/>
        <w:rPr>
          <w:rFonts w:cs="Times New Roman"/>
        </w:rPr>
      </w:pPr>
      <w:r>
        <w:rPr>
          <w:rFonts w:cs="Times New Roman"/>
        </w:rPr>
        <w:t>检查数量：每1000个为一批，每批随机抽取1%，且不少于3个。</w:t>
      </w:r>
    </w:p>
    <w:p>
      <w:pPr>
        <w:snapToGrid w:val="0"/>
        <w:ind w:firstLine="480" w:firstLineChars="200"/>
        <w:rPr>
          <w:rFonts w:cs="Times New Roman"/>
        </w:rPr>
      </w:pPr>
      <w:r>
        <w:rPr>
          <w:rFonts w:cs="Times New Roman"/>
        </w:rPr>
        <w:t>检验方法：观察。</w:t>
      </w:r>
    </w:p>
    <w:p>
      <w:pPr>
        <w:snapToGrid w:val="0"/>
        <w:jc w:val="center"/>
        <w:rPr>
          <w:rFonts w:ascii="仿宋_GB2312" w:eastAsia="仿宋_GB2312" w:cs="Times New Roman"/>
        </w:rPr>
      </w:pPr>
      <w:r>
        <w:rPr>
          <w:rFonts w:hint="eastAsia" w:ascii="仿宋_GB2312" w:eastAsia="仿宋_GB2312" w:cs="Times New Roman"/>
        </w:rPr>
        <w:t>（II）预制构件安装质量验收</w:t>
      </w:r>
    </w:p>
    <w:p>
      <w:pPr>
        <w:snapToGrid w:val="0"/>
        <w:ind w:left="482" w:hanging="482" w:hangingChars="200"/>
        <w:rPr>
          <w:rFonts w:cs="Times New Roman"/>
        </w:rPr>
      </w:pPr>
      <w:r>
        <w:rPr>
          <w:rStyle w:val="22"/>
          <w:rFonts w:ascii="Times New Roman" w:hAnsi="Times New Roman" w:cs="Times New Roman"/>
        </w:rPr>
        <w:t>6.3.5</w:t>
      </w:r>
      <w:r>
        <w:rPr>
          <w:rFonts w:cs="Times New Roman"/>
        </w:rPr>
        <w:t>  墙面板安装应垂直、平整、位置正确，转角应规整，板材不得有缺边、掉角、开裂等缺陷。</w:t>
      </w:r>
    </w:p>
    <w:p>
      <w:pPr>
        <w:snapToGrid w:val="0"/>
        <w:ind w:left="480" w:leftChars="200"/>
        <w:rPr>
          <w:rFonts w:cs="Times New Roman"/>
        </w:rPr>
      </w:pPr>
      <w:r>
        <w:rPr>
          <w:rFonts w:cs="Times New Roman"/>
        </w:rPr>
        <w:t>检查数量：全数检查。</w:t>
      </w:r>
    </w:p>
    <w:p>
      <w:pPr>
        <w:snapToGrid w:val="0"/>
        <w:ind w:left="480" w:leftChars="200"/>
        <w:rPr>
          <w:rFonts w:cs="Times New Roman"/>
        </w:rPr>
      </w:pPr>
      <w:r>
        <w:rPr>
          <w:rFonts w:cs="Times New Roman"/>
        </w:rPr>
        <w:t>检验方法：观察，尺量。</w:t>
      </w:r>
    </w:p>
    <w:p>
      <w:pPr>
        <w:snapToGrid w:val="0"/>
        <w:ind w:left="482" w:hanging="482" w:hangingChars="200"/>
        <w:rPr>
          <w:rFonts w:cs="Times New Roman"/>
        </w:rPr>
      </w:pPr>
      <w:r>
        <w:rPr>
          <w:rStyle w:val="22"/>
          <w:rFonts w:ascii="Times New Roman" w:hAnsi="Times New Roman" w:cs="Times New Roman"/>
        </w:rPr>
        <w:t>6.3.6</w:t>
      </w:r>
      <w:r>
        <w:rPr>
          <w:rFonts w:cs="Times New Roman"/>
        </w:rPr>
        <w:t>  墙面板表面应平整、接缝应顺直、均匀，不应有裂缝。</w:t>
      </w:r>
    </w:p>
    <w:p>
      <w:pPr>
        <w:snapToGrid w:val="0"/>
        <w:ind w:left="480" w:leftChars="200"/>
        <w:rPr>
          <w:rFonts w:cs="Times New Roman"/>
        </w:rPr>
      </w:pPr>
      <w:r>
        <w:rPr>
          <w:rFonts w:cs="Times New Roman"/>
        </w:rPr>
        <w:t>检查数量：全数检查。</w:t>
      </w:r>
    </w:p>
    <w:p>
      <w:pPr>
        <w:snapToGrid w:val="0"/>
        <w:ind w:left="480" w:leftChars="200"/>
        <w:rPr>
          <w:rFonts w:cs="Times New Roman"/>
        </w:rPr>
      </w:pPr>
      <w:r>
        <w:rPr>
          <w:rFonts w:cs="Times New Roman"/>
        </w:rPr>
        <w:t>检验方法：观察。</w:t>
      </w:r>
    </w:p>
    <w:p>
      <w:pPr>
        <w:snapToGrid w:val="0"/>
        <w:ind w:left="482" w:hanging="482" w:hangingChars="200"/>
        <w:rPr>
          <w:rFonts w:cs="Times New Roman"/>
        </w:rPr>
      </w:pPr>
      <w:r>
        <w:rPr>
          <w:rStyle w:val="22"/>
          <w:rFonts w:ascii="Times New Roman" w:hAnsi="Times New Roman" w:cs="Times New Roman"/>
        </w:rPr>
        <w:t>6.3.7</w:t>
      </w:r>
      <w:r>
        <w:rPr>
          <w:rFonts w:cs="Times New Roman"/>
        </w:rPr>
        <w:t>  墙面板上开的孔洞、槽、盒应位置准确、套割方正、边缘整齐。</w:t>
      </w:r>
    </w:p>
    <w:p>
      <w:pPr>
        <w:snapToGrid w:val="0"/>
        <w:ind w:left="480" w:leftChars="200"/>
        <w:rPr>
          <w:rFonts w:cs="Times New Roman"/>
        </w:rPr>
      </w:pPr>
      <w:r>
        <w:rPr>
          <w:rFonts w:cs="Times New Roman"/>
        </w:rPr>
        <w:t>检查数量：全数检查。</w:t>
      </w:r>
    </w:p>
    <w:p>
      <w:pPr>
        <w:snapToGrid w:val="0"/>
        <w:ind w:firstLine="480" w:firstLineChars="200"/>
        <w:rPr>
          <w:rFonts w:cs="Times New Roman"/>
        </w:rPr>
      </w:pPr>
      <w:r>
        <w:rPr>
          <w:rFonts w:cs="Times New Roman"/>
        </w:rPr>
        <w:t>检验方法：观察。</w:t>
      </w:r>
    </w:p>
    <w:p>
      <w:pPr>
        <w:snapToGrid w:val="0"/>
        <w:ind w:left="482" w:hanging="482" w:hangingChars="200"/>
        <w:rPr>
          <w:rFonts w:cs="Times New Roman"/>
          <w:b/>
          <w:bCs/>
          <w:sz w:val="20"/>
        </w:rPr>
      </w:pPr>
      <w:r>
        <w:rPr>
          <w:rStyle w:val="22"/>
          <w:rFonts w:ascii="Times New Roman" w:hAnsi="Times New Roman" w:cs="Times New Roman"/>
        </w:rPr>
        <w:t>6.3.8</w:t>
      </w:r>
      <w:r>
        <w:rPr>
          <w:rFonts w:cs="Times New Roman"/>
        </w:rPr>
        <w:t>  预制构件安装的允许偏差和检验方法应符合表6.3.8的规定。</w:t>
      </w:r>
    </w:p>
    <w:p>
      <w:pPr>
        <w:snapToGrid w:val="0"/>
        <w:ind w:left="402" w:hanging="402" w:hangingChars="200"/>
        <w:jc w:val="center"/>
        <w:rPr>
          <w:rFonts w:cs="Times New Roman"/>
        </w:rPr>
      </w:pPr>
      <w:r>
        <w:rPr>
          <w:rFonts w:cs="Times New Roman"/>
          <w:b/>
          <w:bCs/>
          <w:sz w:val="20"/>
        </w:rPr>
        <w:t xml:space="preserve">表6.3.8 </w:t>
      </w:r>
      <w:r>
        <w:rPr>
          <w:rFonts w:hint="eastAsia" w:cs="Times New Roman"/>
          <w:b/>
          <w:bCs/>
          <w:sz w:val="20"/>
        </w:rPr>
        <w:t>预制构件</w:t>
      </w:r>
      <w:r>
        <w:rPr>
          <w:rFonts w:cs="Times New Roman"/>
          <w:b/>
          <w:bCs/>
          <w:sz w:val="20"/>
        </w:rPr>
        <w:t>安装允许偏差和检验方法</w:t>
      </w:r>
    </w:p>
    <w:tbl>
      <w:tblPr>
        <w:tblStyle w:val="17"/>
        <w:tblW w:w="7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pPr>
              <w:snapToGrid w:val="0"/>
              <w:spacing w:line="240" w:lineRule="auto"/>
              <w:jc w:val="center"/>
              <w:rPr>
                <w:rFonts w:cs="Times New Roman"/>
                <w:sz w:val="21"/>
                <w:szCs w:val="21"/>
              </w:rPr>
            </w:pPr>
            <w:r>
              <w:rPr>
                <w:rFonts w:cs="Times New Roman"/>
                <w:sz w:val="21"/>
                <w:szCs w:val="21"/>
              </w:rPr>
              <w:t>项目</w:t>
            </w:r>
          </w:p>
        </w:tc>
        <w:tc>
          <w:tcPr>
            <w:tcW w:w="2268" w:type="dxa"/>
            <w:vAlign w:val="center"/>
          </w:tcPr>
          <w:p>
            <w:pPr>
              <w:snapToGrid w:val="0"/>
              <w:spacing w:line="240" w:lineRule="auto"/>
              <w:jc w:val="center"/>
              <w:rPr>
                <w:rFonts w:cs="Times New Roman"/>
                <w:sz w:val="21"/>
                <w:szCs w:val="21"/>
              </w:rPr>
            </w:pPr>
            <w:r>
              <w:rPr>
                <w:rFonts w:cs="Times New Roman"/>
                <w:sz w:val="21"/>
                <w:szCs w:val="21"/>
              </w:rPr>
              <w:t>允许偏差（mm）</w:t>
            </w:r>
          </w:p>
        </w:tc>
        <w:tc>
          <w:tcPr>
            <w:tcW w:w="3118" w:type="dxa"/>
            <w:vAlign w:val="center"/>
          </w:tcPr>
          <w:p>
            <w:pPr>
              <w:snapToGrid w:val="0"/>
              <w:spacing w:line="240" w:lineRule="auto"/>
              <w:jc w:val="center"/>
              <w:rPr>
                <w:rFonts w:cs="Times New Roman"/>
                <w:sz w:val="21"/>
                <w:szCs w:val="21"/>
              </w:rPr>
            </w:pPr>
            <w:r>
              <w:rPr>
                <w:rFonts w:cs="Times New Roman"/>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pPr>
              <w:snapToGrid w:val="0"/>
              <w:spacing w:line="240" w:lineRule="auto"/>
              <w:jc w:val="center"/>
              <w:rPr>
                <w:rFonts w:cs="Times New Roman"/>
                <w:sz w:val="21"/>
                <w:szCs w:val="21"/>
              </w:rPr>
            </w:pPr>
            <w:r>
              <w:rPr>
                <w:rFonts w:cs="Times New Roman"/>
                <w:sz w:val="21"/>
                <w:szCs w:val="21"/>
              </w:rPr>
              <w:t>墙体轴线位移</w:t>
            </w:r>
          </w:p>
        </w:tc>
        <w:tc>
          <w:tcPr>
            <w:tcW w:w="2268" w:type="dxa"/>
            <w:vAlign w:val="center"/>
          </w:tcPr>
          <w:p>
            <w:pPr>
              <w:snapToGrid w:val="0"/>
              <w:spacing w:line="240" w:lineRule="auto"/>
              <w:jc w:val="center"/>
              <w:rPr>
                <w:rFonts w:cs="Times New Roman"/>
                <w:sz w:val="21"/>
                <w:szCs w:val="21"/>
              </w:rPr>
            </w:pPr>
            <w:r>
              <w:rPr>
                <w:rFonts w:cs="Times New Roman"/>
                <w:sz w:val="21"/>
                <w:szCs w:val="21"/>
              </w:rPr>
              <w:t>±2</w:t>
            </w:r>
          </w:p>
        </w:tc>
        <w:tc>
          <w:tcPr>
            <w:tcW w:w="3118" w:type="dxa"/>
            <w:vAlign w:val="center"/>
          </w:tcPr>
          <w:p>
            <w:pPr>
              <w:snapToGrid w:val="0"/>
              <w:spacing w:line="240" w:lineRule="auto"/>
              <w:jc w:val="center"/>
              <w:rPr>
                <w:rFonts w:cs="Times New Roman"/>
                <w:sz w:val="21"/>
                <w:szCs w:val="21"/>
              </w:rPr>
            </w:pPr>
            <w:r>
              <w:rPr>
                <w:rFonts w:cs="Times New Roman"/>
                <w:sz w:val="21"/>
                <w:szCs w:val="21"/>
              </w:rPr>
              <w:t>用拉线和尺检查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pPr>
              <w:snapToGrid w:val="0"/>
              <w:spacing w:line="240" w:lineRule="auto"/>
              <w:jc w:val="center"/>
              <w:rPr>
                <w:rFonts w:cs="Times New Roman"/>
                <w:sz w:val="21"/>
                <w:szCs w:val="21"/>
              </w:rPr>
            </w:pPr>
            <w:r>
              <w:rPr>
                <w:rFonts w:cs="Times New Roman"/>
                <w:sz w:val="21"/>
                <w:szCs w:val="21"/>
              </w:rPr>
              <w:t>表面平整度</w:t>
            </w:r>
          </w:p>
        </w:tc>
        <w:tc>
          <w:tcPr>
            <w:tcW w:w="2268" w:type="dxa"/>
            <w:vAlign w:val="center"/>
          </w:tcPr>
          <w:p>
            <w:pPr>
              <w:snapToGrid w:val="0"/>
              <w:spacing w:line="240" w:lineRule="auto"/>
              <w:jc w:val="center"/>
              <w:rPr>
                <w:rFonts w:cs="Times New Roman"/>
                <w:sz w:val="21"/>
                <w:szCs w:val="21"/>
              </w:rPr>
            </w:pPr>
            <w:r>
              <w:rPr>
                <w:rFonts w:cs="Times New Roman"/>
                <w:sz w:val="21"/>
                <w:szCs w:val="21"/>
              </w:rPr>
              <w:t>3</w:t>
            </w:r>
          </w:p>
        </w:tc>
        <w:tc>
          <w:tcPr>
            <w:tcW w:w="3118" w:type="dxa"/>
            <w:vAlign w:val="center"/>
          </w:tcPr>
          <w:p>
            <w:pPr>
              <w:snapToGrid w:val="0"/>
              <w:spacing w:line="240" w:lineRule="auto"/>
              <w:jc w:val="center"/>
              <w:rPr>
                <w:rFonts w:cs="Times New Roman"/>
                <w:sz w:val="21"/>
                <w:szCs w:val="21"/>
              </w:rPr>
            </w:pPr>
            <w:r>
              <w:rPr>
                <w:rFonts w:cs="Times New Roman"/>
                <w:sz w:val="21"/>
                <w:szCs w:val="21"/>
              </w:rPr>
              <w:t>用2m靠尺和楔形塞尺检查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pPr>
              <w:snapToGrid w:val="0"/>
              <w:spacing w:line="240" w:lineRule="auto"/>
              <w:jc w:val="center"/>
              <w:rPr>
                <w:rFonts w:cs="Times New Roman"/>
                <w:sz w:val="21"/>
                <w:szCs w:val="21"/>
              </w:rPr>
            </w:pPr>
            <w:r>
              <w:rPr>
                <w:rFonts w:cs="Times New Roman"/>
                <w:sz w:val="21"/>
                <w:szCs w:val="21"/>
              </w:rPr>
              <w:t>立面垂直度</w:t>
            </w:r>
          </w:p>
        </w:tc>
        <w:tc>
          <w:tcPr>
            <w:tcW w:w="2268" w:type="dxa"/>
            <w:vAlign w:val="center"/>
          </w:tcPr>
          <w:p>
            <w:pPr>
              <w:snapToGrid w:val="0"/>
              <w:spacing w:line="240" w:lineRule="auto"/>
              <w:jc w:val="center"/>
              <w:rPr>
                <w:rFonts w:cs="Times New Roman"/>
                <w:sz w:val="21"/>
                <w:szCs w:val="21"/>
              </w:rPr>
            </w:pPr>
            <w:r>
              <w:rPr>
                <w:rFonts w:cs="Times New Roman"/>
                <w:sz w:val="21"/>
                <w:szCs w:val="21"/>
              </w:rPr>
              <w:t>3</w:t>
            </w:r>
          </w:p>
        </w:tc>
        <w:tc>
          <w:tcPr>
            <w:tcW w:w="3118" w:type="dxa"/>
            <w:vAlign w:val="center"/>
          </w:tcPr>
          <w:p>
            <w:pPr>
              <w:snapToGrid w:val="0"/>
              <w:spacing w:line="240" w:lineRule="auto"/>
              <w:jc w:val="center"/>
              <w:rPr>
                <w:rFonts w:cs="Times New Roman"/>
                <w:sz w:val="21"/>
                <w:szCs w:val="21"/>
              </w:rPr>
            </w:pPr>
            <w:r>
              <w:rPr>
                <w:rFonts w:cs="Times New Roman"/>
                <w:sz w:val="21"/>
                <w:szCs w:val="21"/>
              </w:rPr>
              <w:t>用2m垂直检测尺检查</w:t>
            </w:r>
          </w:p>
        </w:tc>
      </w:tr>
    </w:tbl>
    <w:p>
      <w:bookmarkStart w:id="108" w:name="_Toc18315"/>
      <w:bookmarkStart w:id="109" w:name="_Toc30254"/>
    </w:p>
    <w:p>
      <w:pPr>
        <w:pStyle w:val="4"/>
        <w:snapToGrid w:val="0"/>
        <w:spacing w:before="0" w:after="0" w:line="360" w:lineRule="auto"/>
        <w:rPr>
          <w:rFonts w:ascii="Times New Roman" w:hAnsi="Times New Roman" w:cs="Times New Roman"/>
        </w:rPr>
      </w:pPr>
      <w:bookmarkStart w:id="110" w:name="_Toc21279"/>
      <w:r>
        <w:rPr>
          <w:rFonts w:ascii="Times New Roman" w:hAnsi="Times New Roman" w:cs="Times New Roman"/>
        </w:rPr>
        <w:t>6.4  </w:t>
      </w:r>
      <w:bookmarkEnd w:id="108"/>
      <w:bookmarkEnd w:id="109"/>
      <w:r>
        <w:rPr>
          <w:rFonts w:hint="eastAsia" w:ascii="Times New Roman" w:hAnsi="Times New Roman" w:cs="Times New Roman"/>
        </w:rPr>
        <w:t>保温板</w:t>
      </w:r>
      <w:bookmarkEnd w:id="110"/>
    </w:p>
    <w:p>
      <w:pPr>
        <w:widowControl/>
        <w:snapToGrid w:val="0"/>
        <w:rPr>
          <w:rFonts w:cs="Times New Roman"/>
        </w:rPr>
      </w:pPr>
      <w:r>
        <w:rPr>
          <w:rStyle w:val="22"/>
          <w:rFonts w:ascii="Times New Roman" w:hAnsi="Times New Roman" w:cs="Times New Roman"/>
        </w:rPr>
        <w:t>6.4.1</w:t>
      </w:r>
      <w:r>
        <w:rPr>
          <w:rFonts w:cs="Times New Roman"/>
        </w:rPr>
        <w:t>  保温</w:t>
      </w:r>
      <w:r>
        <w:rPr>
          <w:rFonts w:hint="eastAsia" w:cs="Times New Roman"/>
        </w:rPr>
        <w:t>板</w:t>
      </w:r>
      <w:r>
        <w:rPr>
          <w:rFonts w:cs="Times New Roman"/>
        </w:rPr>
        <w:t>进场时，</w:t>
      </w:r>
      <w:r>
        <w:rPr>
          <w:rFonts w:cs="Times New Roman"/>
          <w:color w:val="000000"/>
          <w:kern w:val="0"/>
          <w:lang w:bidi="ar"/>
        </w:rPr>
        <w:t>应进行</w:t>
      </w:r>
      <w:r>
        <w:rPr>
          <w:rFonts w:cs="Times New Roman"/>
        </w:rPr>
        <w:t>保温板</w:t>
      </w:r>
      <w:r>
        <w:rPr>
          <w:rFonts w:cs="Times New Roman"/>
          <w:color w:val="000000"/>
          <w:kern w:val="0"/>
          <w:lang w:bidi="ar"/>
        </w:rPr>
        <w:t>的密度检验，其性能应符合</w:t>
      </w:r>
    </w:p>
    <w:p>
      <w:pPr>
        <w:snapToGrid w:val="0"/>
        <w:rPr>
          <w:rFonts w:cs="Times New Roman"/>
        </w:rPr>
      </w:pPr>
      <w:r>
        <w:rPr>
          <w:rFonts w:cs="Times New Roman"/>
        </w:rPr>
        <w:t>国家现行有关标准和本标准的有关规定。</w:t>
      </w:r>
    </w:p>
    <w:p>
      <w:pPr>
        <w:snapToGrid w:val="0"/>
        <w:ind w:firstLine="480" w:firstLineChars="200"/>
        <w:rPr>
          <w:rFonts w:cs="Times New Roman"/>
        </w:rPr>
      </w:pPr>
      <w:r>
        <w:rPr>
          <w:rFonts w:cs="Times New Roman"/>
        </w:rPr>
        <w:t>检查数量：每 1000m²为一检验批，每批抽取 1%，且不少 3 个试件。</w:t>
      </w:r>
    </w:p>
    <w:p>
      <w:pPr>
        <w:snapToGrid w:val="0"/>
        <w:ind w:firstLine="480" w:firstLineChars="200"/>
        <w:rPr>
          <w:rFonts w:cs="Times New Roman"/>
        </w:rPr>
      </w:pPr>
      <w:r>
        <w:rPr>
          <w:rFonts w:cs="Times New Roman"/>
        </w:rPr>
        <w:t>检验方法：检查产品合格证、出厂检验报告和抽样检验报告。</w:t>
      </w:r>
    </w:p>
    <w:p>
      <w:pPr>
        <w:snapToGrid w:val="0"/>
        <w:rPr>
          <w:rFonts w:cs="Times New Roman"/>
        </w:rPr>
      </w:pPr>
      <w:r>
        <w:rPr>
          <w:rStyle w:val="22"/>
          <w:rFonts w:ascii="Times New Roman" w:hAnsi="Times New Roman" w:cs="Times New Roman"/>
        </w:rPr>
        <w:t>6.4.2</w:t>
      </w:r>
      <w:r>
        <w:rPr>
          <w:rFonts w:cs="Times New Roman"/>
        </w:rPr>
        <w:t>  保温</w:t>
      </w:r>
      <w:r>
        <w:rPr>
          <w:rFonts w:hint="eastAsia" w:cs="Times New Roman"/>
        </w:rPr>
        <w:t>板</w:t>
      </w:r>
      <w:r>
        <w:rPr>
          <w:rFonts w:cs="Times New Roman"/>
          <w:color w:val="000000"/>
          <w:kern w:val="0"/>
          <w:lang w:bidi="ar"/>
        </w:rPr>
        <w:t>应进行燃烧性能检验，其结果应符合本标准的规定</w:t>
      </w:r>
      <w:r>
        <w:rPr>
          <w:rFonts w:cs="Times New Roman"/>
        </w:rPr>
        <w:t>。</w:t>
      </w:r>
      <w:r>
        <w:rPr>
          <w:rFonts w:cs="Times New Roman"/>
          <w:color w:val="000000"/>
          <w:kern w:val="0"/>
          <w:lang w:bidi="ar"/>
        </w:rPr>
        <w:t xml:space="preserve"> </w:t>
      </w:r>
    </w:p>
    <w:p>
      <w:pPr>
        <w:widowControl/>
        <w:snapToGrid w:val="0"/>
        <w:ind w:firstLine="480" w:firstLineChars="200"/>
        <w:rPr>
          <w:rFonts w:cs="Times New Roman"/>
        </w:rPr>
      </w:pPr>
      <w:r>
        <w:rPr>
          <w:rFonts w:cs="Times New Roman"/>
          <w:color w:val="000000"/>
          <w:kern w:val="0"/>
          <w:lang w:bidi="ar"/>
        </w:rPr>
        <w:t>检查数量：每</w:t>
      </w:r>
      <w:r>
        <w:rPr>
          <w:rFonts w:cs="Times New Roman"/>
        </w:rPr>
        <w:t>2000m²</w:t>
      </w:r>
      <w:r>
        <w:rPr>
          <w:rFonts w:cs="Times New Roman"/>
          <w:color w:val="000000"/>
          <w:kern w:val="0"/>
          <w:lang w:bidi="ar"/>
        </w:rPr>
        <w:t>为一个检验批，不足</w:t>
      </w:r>
      <w:r>
        <w:rPr>
          <w:rFonts w:cs="Times New Roman"/>
        </w:rPr>
        <w:t>2000 m²</w:t>
      </w:r>
      <w:r>
        <w:rPr>
          <w:rFonts w:cs="Times New Roman"/>
          <w:color w:val="000000"/>
          <w:kern w:val="0"/>
          <w:lang w:bidi="ar"/>
        </w:rPr>
        <w:t xml:space="preserve">时，应划为一个检验批， </w:t>
      </w:r>
    </w:p>
    <w:p>
      <w:pPr>
        <w:widowControl/>
        <w:snapToGrid w:val="0"/>
        <w:rPr>
          <w:rFonts w:cs="Times New Roman"/>
        </w:rPr>
      </w:pPr>
      <w:r>
        <w:rPr>
          <w:rFonts w:cs="Times New Roman"/>
          <w:color w:val="000000"/>
          <w:kern w:val="0"/>
          <w:lang w:bidi="ar"/>
        </w:rPr>
        <w:t xml:space="preserve">每批抽取 1 块。 </w:t>
      </w:r>
    </w:p>
    <w:p>
      <w:pPr>
        <w:widowControl/>
        <w:snapToGrid w:val="0"/>
        <w:ind w:firstLine="480" w:firstLineChars="200"/>
        <w:rPr>
          <w:rFonts w:cs="Times New Roman"/>
          <w:color w:val="000000"/>
          <w:kern w:val="0"/>
          <w:lang w:bidi="ar"/>
        </w:rPr>
      </w:pPr>
      <w:r>
        <w:rPr>
          <w:rFonts w:cs="Times New Roman"/>
          <w:color w:val="000000"/>
          <w:kern w:val="0"/>
          <w:lang w:bidi="ar"/>
        </w:rPr>
        <w:t xml:space="preserve">检验方法：检查抽样检验报告。 </w:t>
      </w:r>
    </w:p>
    <w:p>
      <w:pPr>
        <w:snapToGrid w:val="0"/>
        <w:rPr>
          <w:rFonts w:cs="Times New Roman"/>
        </w:rPr>
      </w:pPr>
      <w:r>
        <w:rPr>
          <w:rStyle w:val="22"/>
          <w:rFonts w:ascii="Times New Roman" w:hAnsi="Times New Roman" w:cs="Times New Roman"/>
        </w:rPr>
        <w:t>6.4.3</w:t>
      </w:r>
      <w:r>
        <w:rPr>
          <w:rFonts w:cs="Times New Roman"/>
        </w:rPr>
        <w:t>  保温</w:t>
      </w:r>
      <w:r>
        <w:rPr>
          <w:rFonts w:hint="eastAsia" w:cs="Times New Roman"/>
        </w:rPr>
        <w:t>板</w:t>
      </w:r>
      <w:r>
        <w:rPr>
          <w:rFonts w:cs="Times New Roman"/>
        </w:rPr>
        <w:t>尺寸允许偏差应符合表</w:t>
      </w:r>
      <w:r>
        <w:rPr>
          <w:rFonts w:hint="eastAsia" w:cs="Times New Roman"/>
        </w:rPr>
        <w:t>6</w:t>
      </w:r>
      <w:r>
        <w:rPr>
          <w:rFonts w:cs="Times New Roman"/>
        </w:rPr>
        <w:t>.</w:t>
      </w:r>
      <w:r>
        <w:rPr>
          <w:rFonts w:hint="eastAsia" w:cs="Times New Roman"/>
        </w:rPr>
        <w:t>4</w:t>
      </w:r>
      <w:r>
        <w:rPr>
          <w:rFonts w:cs="Times New Roman"/>
        </w:rPr>
        <w:t xml:space="preserve">.3的规定。 </w:t>
      </w:r>
    </w:p>
    <w:p>
      <w:pPr>
        <w:snapToGrid w:val="0"/>
        <w:ind w:firstLine="480" w:firstLineChars="200"/>
        <w:rPr>
          <w:rFonts w:cs="Times New Roman"/>
        </w:rPr>
      </w:pPr>
      <w:r>
        <w:rPr>
          <w:rFonts w:cs="Times New Roman"/>
        </w:rPr>
        <w:t xml:space="preserve">检查数量：每2000m²为一个检验批，每批抽取 1%，且不应少于 3 块。 </w:t>
      </w:r>
    </w:p>
    <w:p>
      <w:pPr>
        <w:snapToGrid w:val="0"/>
        <w:ind w:firstLine="480" w:firstLineChars="200"/>
        <w:rPr>
          <w:rFonts w:cs="Times New Roman"/>
        </w:rPr>
      </w:pPr>
      <w:r>
        <w:rPr>
          <w:rFonts w:cs="Times New Roman"/>
        </w:rPr>
        <w:t>检验方法：尺量。</w:t>
      </w:r>
    </w:p>
    <w:p>
      <w:pPr>
        <w:snapToGrid w:val="0"/>
        <w:ind w:left="422" w:hanging="422" w:hangingChars="200"/>
        <w:jc w:val="center"/>
        <w:rPr>
          <w:rFonts w:cs="Times New Roman"/>
          <w:b/>
          <w:bCs/>
          <w:sz w:val="21"/>
          <w:szCs w:val="21"/>
        </w:rPr>
      </w:pPr>
      <w:r>
        <w:rPr>
          <w:rFonts w:cs="Times New Roman"/>
          <w:b/>
          <w:bCs/>
          <w:sz w:val="21"/>
          <w:szCs w:val="21"/>
        </w:rPr>
        <w:t>表6.4.3 保温板尺寸允许偏差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pPr>
              <w:snapToGrid w:val="0"/>
              <w:spacing w:line="240" w:lineRule="auto"/>
              <w:jc w:val="center"/>
              <w:rPr>
                <w:rFonts w:cs="Times New Roman"/>
                <w:sz w:val="21"/>
                <w:szCs w:val="21"/>
              </w:rPr>
            </w:pPr>
            <w:r>
              <w:rPr>
                <w:rFonts w:cs="Times New Roman"/>
                <w:sz w:val="21"/>
                <w:szCs w:val="21"/>
              </w:rPr>
              <w:t>项目</w:t>
            </w:r>
          </w:p>
        </w:tc>
        <w:tc>
          <w:tcPr>
            <w:tcW w:w="2268" w:type="dxa"/>
            <w:vAlign w:val="center"/>
          </w:tcPr>
          <w:p>
            <w:pPr>
              <w:snapToGrid w:val="0"/>
              <w:spacing w:line="240" w:lineRule="auto"/>
              <w:jc w:val="center"/>
              <w:rPr>
                <w:rFonts w:cs="Times New Roman"/>
                <w:sz w:val="21"/>
                <w:szCs w:val="21"/>
              </w:rPr>
            </w:pPr>
            <w:r>
              <w:rPr>
                <w:rFonts w:cs="Times New Roman"/>
                <w:sz w:val="21"/>
                <w:szCs w:val="21"/>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pPr>
              <w:snapToGrid w:val="0"/>
              <w:spacing w:line="240" w:lineRule="auto"/>
              <w:jc w:val="center"/>
              <w:rPr>
                <w:rFonts w:cs="Times New Roman"/>
                <w:sz w:val="21"/>
                <w:szCs w:val="21"/>
              </w:rPr>
            </w:pPr>
            <w:r>
              <w:rPr>
                <w:rFonts w:cs="Times New Roman"/>
                <w:sz w:val="21"/>
                <w:szCs w:val="21"/>
              </w:rPr>
              <w:t>长度</w:t>
            </w:r>
          </w:p>
        </w:tc>
        <w:tc>
          <w:tcPr>
            <w:tcW w:w="2268" w:type="dxa"/>
            <w:vAlign w:val="center"/>
          </w:tcPr>
          <w:p>
            <w:pPr>
              <w:snapToGrid w:val="0"/>
              <w:spacing w:line="240" w:lineRule="auto"/>
              <w:jc w:val="center"/>
              <w:rPr>
                <w:rFonts w:cs="Times New Roman"/>
                <w:sz w:val="21"/>
                <w:szCs w:val="21"/>
              </w:rPr>
            </w:pPr>
            <w:r>
              <w:rPr>
                <w:rFonts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pPr>
              <w:snapToGrid w:val="0"/>
              <w:spacing w:line="240" w:lineRule="auto"/>
              <w:jc w:val="center"/>
              <w:rPr>
                <w:rFonts w:cs="Times New Roman"/>
                <w:sz w:val="21"/>
                <w:szCs w:val="21"/>
              </w:rPr>
            </w:pPr>
            <w:r>
              <w:rPr>
                <w:rFonts w:cs="Times New Roman"/>
                <w:sz w:val="21"/>
                <w:szCs w:val="21"/>
              </w:rPr>
              <w:t>宽度</w:t>
            </w:r>
          </w:p>
        </w:tc>
        <w:tc>
          <w:tcPr>
            <w:tcW w:w="2268" w:type="dxa"/>
            <w:vAlign w:val="center"/>
          </w:tcPr>
          <w:p>
            <w:pPr>
              <w:snapToGrid w:val="0"/>
              <w:spacing w:line="240" w:lineRule="auto"/>
              <w:jc w:val="center"/>
              <w:rPr>
                <w:rFonts w:cs="Times New Roman"/>
                <w:sz w:val="21"/>
                <w:szCs w:val="21"/>
              </w:rPr>
            </w:pPr>
            <w:r>
              <w:rPr>
                <w:rFonts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pPr>
              <w:snapToGrid w:val="0"/>
              <w:spacing w:line="240" w:lineRule="auto"/>
              <w:jc w:val="center"/>
              <w:rPr>
                <w:rFonts w:cs="Times New Roman"/>
                <w:sz w:val="21"/>
                <w:szCs w:val="21"/>
              </w:rPr>
            </w:pPr>
            <w:r>
              <w:rPr>
                <w:rFonts w:cs="Times New Roman"/>
                <w:sz w:val="21"/>
                <w:szCs w:val="21"/>
              </w:rPr>
              <w:t>厚度</w:t>
            </w:r>
          </w:p>
        </w:tc>
        <w:tc>
          <w:tcPr>
            <w:tcW w:w="2268" w:type="dxa"/>
            <w:vAlign w:val="center"/>
          </w:tcPr>
          <w:p>
            <w:pPr>
              <w:snapToGrid w:val="0"/>
              <w:spacing w:line="240" w:lineRule="auto"/>
              <w:jc w:val="center"/>
              <w:rPr>
                <w:rFonts w:cs="Times New Roman"/>
                <w:sz w:val="21"/>
                <w:szCs w:val="21"/>
              </w:rPr>
            </w:pPr>
            <w:r>
              <w:rPr>
                <w:rFonts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pPr>
              <w:snapToGrid w:val="0"/>
              <w:spacing w:line="240" w:lineRule="auto"/>
              <w:jc w:val="center"/>
              <w:rPr>
                <w:rFonts w:cs="Times New Roman"/>
                <w:sz w:val="21"/>
                <w:szCs w:val="21"/>
              </w:rPr>
            </w:pPr>
            <w:r>
              <w:rPr>
                <w:rFonts w:cs="Times New Roman"/>
                <w:sz w:val="21"/>
                <w:szCs w:val="21"/>
              </w:rPr>
              <w:t>表面平整度</w:t>
            </w:r>
          </w:p>
        </w:tc>
        <w:tc>
          <w:tcPr>
            <w:tcW w:w="2268" w:type="dxa"/>
            <w:vAlign w:val="center"/>
          </w:tcPr>
          <w:p>
            <w:pPr>
              <w:snapToGrid w:val="0"/>
              <w:spacing w:line="240" w:lineRule="auto"/>
              <w:jc w:val="center"/>
              <w:rPr>
                <w:rFonts w:cs="Times New Roman"/>
                <w:sz w:val="21"/>
                <w:szCs w:val="21"/>
              </w:rPr>
            </w:pPr>
            <w:r>
              <w:rPr>
                <w:rFonts w:cs="Times New Roman"/>
                <w:sz w:val="21"/>
                <w:szCs w:val="21"/>
              </w:rPr>
              <w:t>±5</w:t>
            </w:r>
          </w:p>
        </w:tc>
      </w:tr>
    </w:tbl>
    <w:p>
      <w:bookmarkStart w:id="111" w:name="_Toc17546"/>
      <w:bookmarkStart w:id="112" w:name="_Toc24124"/>
    </w:p>
    <w:p>
      <w:pPr>
        <w:pStyle w:val="4"/>
        <w:snapToGrid w:val="0"/>
        <w:spacing w:before="0" w:after="0" w:line="360" w:lineRule="auto"/>
        <w:rPr>
          <w:rFonts w:ascii="Times New Roman" w:hAnsi="Times New Roman" w:cs="Times New Roman"/>
        </w:rPr>
      </w:pPr>
      <w:bookmarkStart w:id="113" w:name="_Toc24295"/>
      <w:r>
        <w:rPr>
          <w:rFonts w:ascii="Times New Roman" w:hAnsi="Times New Roman" w:cs="Times New Roman"/>
        </w:rPr>
        <w:t>6.5  </w:t>
      </w:r>
      <w:bookmarkEnd w:id="111"/>
      <w:bookmarkEnd w:id="112"/>
      <w:r>
        <w:rPr>
          <w:rFonts w:hint="eastAsia" w:ascii="Times New Roman" w:hAnsi="Times New Roman" w:cs="Times New Roman"/>
        </w:rPr>
        <w:t>注仓</w:t>
      </w:r>
      <w:r>
        <w:rPr>
          <w:rFonts w:ascii="Times New Roman" w:hAnsi="Times New Roman" w:cs="Times New Roman"/>
        </w:rPr>
        <w:t>料</w:t>
      </w:r>
      <w:bookmarkEnd w:id="113"/>
    </w:p>
    <w:p>
      <w:r>
        <w:rPr>
          <w:b/>
          <w:bCs/>
        </w:rPr>
        <w:t>6.5.1</w:t>
      </w:r>
      <w:r>
        <w:t>  </w:t>
      </w:r>
      <w:r>
        <w:rPr>
          <w:rFonts w:hint="eastAsia"/>
        </w:rPr>
        <w:t>注仓料浆体密度应符合配合比设计要求。用于检验注仓料密度的试件应在浇筑地点随机抽取</w:t>
      </w:r>
      <w:r>
        <w:t>。</w:t>
      </w:r>
      <w:r>
        <w:rPr>
          <w:rFonts w:hint="eastAsia"/>
        </w:rPr>
        <w:t>实测浆体密度与设计浆体密度的偏差不应大于50kg/m³。</w:t>
      </w:r>
    </w:p>
    <w:p>
      <w:pPr>
        <w:ind w:firstLine="480" w:firstLineChars="200"/>
      </w:pPr>
      <w:r>
        <w:t>检查数量：</w:t>
      </w:r>
      <w:r>
        <w:rPr>
          <w:rFonts w:hint="eastAsia"/>
        </w:rPr>
        <w:t>同一配合比轻混凝土,取样与试件留置不得少于一次。</w:t>
      </w:r>
    </w:p>
    <w:p>
      <w:pPr>
        <w:ind w:firstLine="480" w:firstLineChars="200"/>
      </w:pPr>
      <w:r>
        <w:t>检查方法：检查施工记录和</w:t>
      </w:r>
      <w:r>
        <w:rPr>
          <w:rFonts w:hint="eastAsia"/>
        </w:rPr>
        <w:t>强度</w:t>
      </w:r>
      <w:r>
        <w:t>试验报告。</w:t>
      </w:r>
    </w:p>
    <w:p>
      <w:r>
        <w:rPr>
          <w:b/>
          <w:bCs/>
        </w:rPr>
        <w:t>6.5.2</w:t>
      </w:r>
      <w:r>
        <w:t>  </w:t>
      </w:r>
      <w:r>
        <w:rPr>
          <w:rFonts w:hint="eastAsia"/>
        </w:rPr>
        <w:t>注仓料的强度应符合设计要求。用于检验注仓料强度的试件应在浇筑地点随机抽取。</w:t>
      </w:r>
    </w:p>
    <w:p>
      <w:pPr>
        <w:ind w:firstLine="480" w:firstLineChars="200"/>
      </w:pPr>
      <w:r>
        <w:rPr>
          <w:rFonts w:hint="eastAsia"/>
        </w:rPr>
        <w:t>检查数量：同一配合比注仓料，每浇筑200m³时,取样不得少于一次。</w:t>
      </w:r>
    </w:p>
    <w:p>
      <w:pPr>
        <w:ind w:firstLine="480" w:firstLineChars="200"/>
      </w:pPr>
      <w:r>
        <w:rPr>
          <w:rFonts w:hint="eastAsia"/>
        </w:rPr>
        <w:t>检查方法：检查施工记录及轻混凝土强度试验报告。</w:t>
      </w:r>
      <w:r>
        <w:t xml:space="preserve"> </w:t>
      </w:r>
    </w:p>
    <w:p>
      <w:r>
        <w:rPr>
          <w:b/>
          <w:bCs/>
        </w:rPr>
        <w:t>6.5.3</w:t>
      </w:r>
      <w:r>
        <w:t>  </w:t>
      </w:r>
      <w:r>
        <w:rPr>
          <w:rFonts w:hint="eastAsia"/>
        </w:rPr>
        <w:t xml:space="preserve">注仓料拌和物不应离析。 </w:t>
      </w:r>
    </w:p>
    <w:p>
      <w:pPr>
        <w:ind w:firstLine="480" w:firstLineChars="200"/>
      </w:pPr>
      <w:r>
        <w:rPr>
          <w:rFonts w:hint="eastAsia"/>
        </w:rPr>
        <w:t>检查数量：全数检查。</w:t>
      </w:r>
    </w:p>
    <w:p>
      <w:pPr>
        <w:ind w:firstLine="480" w:firstLineChars="200"/>
      </w:pPr>
      <w:r>
        <w:t>检验方法：</w:t>
      </w:r>
      <w:r>
        <w:rPr>
          <w:rFonts w:hint="eastAsia"/>
        </w:rPr>
        <w:t>观察。</w:t>
      </w:r>
    </w:p>
    <w:p>
      <w:pPr>
        <w:snapToGrid w:val="0"/>
        <w:ind w:firstLine="480" w:firstLineChars="200"/>
        <w:rPr>
          <w:rFonts w:cs="Times New Roman"/>
        </w:rPr>
      </w:pPr>
    </w:p>
    <w:p>
      <w:pPr>
        <w:pStyle w:val="4"/>
        <w:snapToGrid w:val="0"/>
        <w:spacing w:before="0" w:after="0" w:line="360" w:lineRule="auto"/>
        <w:rPr>
          <w:rFonts w:ascii="Times New Roman" w:hAnsi="Times New Roman" w:cs="Times New Roman"/>
        </w:rPr>
      </w:pPr>
      <w:bookmarkStart w:id="114" w:name="_Toc27214"/>
      <w:bookmarkStart w:id="115" w:name="_Toc13059"/>
      <w:bookmarkStart w:id="116" w:name="_Toc17256"/>
      <w:bookmarkStart w:id="117" w:name="_Toc30734"/>
      <w:r>
        <w:rPr>
          <w:rFonts w:ascii="Times New Roman" w:hAnsi="Times New Roman" w:cs="Times New Roman"/>
        </w:rPr>
        <w:t>6.6  墙体工程</w:t>
      </w:r>
      <w:bookmarkEnd w:id="114"/>
      <w:bookmarkEnd w:id="115"/>
      <w:bookmarkEnd w:id="116"/>
      <w:bookmarkEnd w:id="117"/>
    </w:p>
    <w:p>
      <w:pPr>
        <w:snapToGrid w:val="0"/>
        <w:rPr>
          <w:rFonts w:cs="Times New Roman"/>
        </w:rPr>
      </w:pPr>
      <w:r>
        <w:rPr>
          <w:rStyle w:val="22"/>
          <w:rFonts w:ascii="Times New Roman" w:hAnsi="Times New Roman" w:cs="Times New Roman"/>
        </w:rPr>
        <w:t>6.</w:t>
      </w:r>
      <w:r>
        <w:rPr>
          <w:rStyle w:val="22"/>
          <w:rFonts w:hint="eastAsia" w:ascii="Times New Roman" w:hAnsi="Times New Roman" w:cs="Times New Roman"/>
        </w:rPr>
        <w:t>6</w:t>
      </w:r>
      <w:r>
        <w:rPr>
          <w:rStyle w:val="22"/>
          <w:rFonts w:ascii="Times New Roman" w:hAnsi="Times New Roman" w:cs="Times New Roman"/>
        </w:rPr>
        <w:t>.</w:t>
      </w:r>
      <w:r>
        <w:rPr>
          <w:rStyle w:val="22"/>
          <w:rFonts w:hint="eastAsia" w:ascii="Times New Roman" w:hAnsi="Times New Roman" w:cs="Times New Roman"/>
        </w:rPr>
        <w:t>1</w:t>
      </w:r>
      <w:r>
        <w:rPr>
          <w:rFonts w:cs="Times New Roman"/>
        </w:rPr>
        <w:t>  装配式复合轻质墙体，每50间应划分为一个检验批，不足50间应划分为一个检验批，大面积的房间和走廊应按墙面30</w:t>
      </w:r>
      <w:r>
        <w:rPr>
          <w:rFonts w:hint="eastAsia" w:cs="Times New Roman"/>
        </w:rPr>
        <w:t>m</w:t>
      </w:r>
      <w:r>
        <w:rPr>
          <w:rFonts w:hint="eastAsia" w:cs="Times New Roman"/>
          <w:vertAlign w:val="superscript"/>
        </w:rPr>
        <w:t>2</w:t>
      </w:r>
      <w:r>
        <w:rPr>
          <w:rFonts w:cs="Times New Roman"/>
        </w:rPr>
        <w:t>为一间。</w:t>
      </w:r>
    </w:p>
    <w:p>
      <w:pPr>
        <w:snapToGrid w:val="0"/>
        <w:rPr>
          <w:rFonts w:cs="Times New Roman"/>
        </w:rPr>
      </w:pPr>
      <w:r>
        <w:rPr>
          <w:rStyle w:val="22"/>
          <w:rFonts w:ascii="Times New Roman" w:hAnsi="Times New Roman" w:cs="Times New Roman"/>
        </w:rPr>
        <w:t>6.6.</w:t>
      </w:r>
      <w:r>
        <w:rPr>
          <w:rStyle w:val="22"/>
          <w:rFonts w:hint="eastAsia" w:ascii="Times New Roman" w:hAnsi="Times New Roman" w:cs="Times New Roman"/>
        </w:rPr>
        <w:t>2</w:t>
      </w:r>
      <w:r>
        <w:rPr>
          <w:rFonts w:cs="Times New Roman"/>
        </w:rPr>
        <w:t>  墙体内</w:t>
      </w:r>
      <w:r>
        <w:rPr>
          <w:rFonts w:hint="eastAsia" w:cs="Times New Roman"/>
        </w:rPr>
        <w:t>注仓</w:t>
      </w:r>
      <w:r>
        <w:rPr>
          <w:rFonts w:cs="Times New Roman"/>
        </w:rPr>
        <w:t>料的密实度可采取敲击的方法进行检验，检验数量为墙体面积的1%且不少于3面，空鼓面积每处不得超过100mm×100mm，每个墙面不得多于3处。</w:t>
      </w:r>
    </w:p>
    <w:p>
      <w:pPr>
        <w:snapToGrid w:val="0"/>
        <w:rPr>
          <w:rFonts w:cs="Times New Roman"/>
        </w:rPr>
      </w:pPr>
      <w:r>
        <w:rPr>
          <w:rStyle w:val="22"/>
          <w:rFonts w:ascii="Times New Roman" w:hAnsi="Times New Roman" w:cs="Times New Roman"/>
        </w:rPr>
        <w:t>6.6.</w:t>
      </w:r>
      <w:r>
        <w:rPr>
          <w:rStyle w:val="22"/>
          <w:rFonts w:hint="eastAsia" w:ascii="Times New Roman" w:hAnsi="Times New Roman" w:cs="Times New Roman"/>
        </w:rPr>
        <w:t>3</w:t>
      </w:r>
      <w:r>
        <w:rPr>
          <w:rFonts w:cs="Times New Roman"/>
        </w:rPr>
        <w:t>  墙体工程施工质量验收合格应付下列规定：</w:t>
      </w:r>
    </w:p>
    <w:p>
      <w:pPr>
        <w:snapToGrid w:val="0"/>
        <w:ind w:firstLine="482" w:firstLineChars="200"/>
        <w:rPr>
          <w:rFonts w:cs="Times New Roman"/>
        </w:rPr>
      </w:pPr>
      <w:r>
        <w:rPr>
          <w:rFonts w:cs="Times New Roman"/>
          <w:b/>
          <w:bCs/>
        </w:rPr>
        <w:t>1</w:t>
      </w:r>
      <w:r>
        <w:rPr>
          <w:rFonts w:cs="Times New Roman"/>
        </w:rPr>
        <w:t xml:space="preserve"> 所含分项工程质量验收合格；</w:t>
      </w:r>
    </w:p>
    <w:p>
      <w:pPr>
        <w:snapToGrid w:val="0"/>
        <w:ind w:firstLine="482" w:firstLineChars="200"/>
        <w:rPr>
          <w:rFonts w:cs="Times New Roman"/>
        </w:rPr>
      </w:pPr>
      <w:r>
        <w:rPr>
          <w:rFonts w:cs="Times New Roman"/>
          <w:b/>
          <w:bCs/>
        </w:rPr>
        <w:t>2</w:t>
      </w:r>
      <w:r>
        <w:rPr>
          <w:rFonts w:cs="Times New Roman"/>
        </w:rPr>
        <w:t xml:space="preserve"> 应有完整的质量控制资料；</w:t>
      </w:r>
    </w:p>
    <w:p>
      <w:pPr>
        <w:snapToGrid w:val="0"/>
        <w:ind w:firstLine="482" w:firstLineChars="200"/>
        <w:rPr>
          <w:rFonts w:cs="Times New Roman"/>
        </w:rPr>
      </w:pPr>
      <w:r>
        <w:rPr>
          <w:rFonts w:cs="Times New Roman"/>
          <w:b/>
          <w:bCs/>
        </w:rPr>
        <w:t>3</w:t>
      </w:r>
      <w:r>
        <w:rPr>
          <w:rFonts w:cs="Times New Roman"/>
        </w:rPr>
        <w:t xml:space="preserve"> 观感质量验收合格。</w:t>
      </w:r>
    </w:p>
    <w:p>
      <w:pPr>
        <w:snapToGrid w:val="0"/>
        <w:rPr>
          <w:rFonts w:cs="Times New Roman"/>
        </w:rPr>
      </w:pPr>
      <w:r>
        <w:rPr>
          <w:rStyle w:val="22"/>
          <w:rFonts w:ascii="Times New Roman" w:hAnsi="Times New Roman" w:cs="Times New Roman"/>
        </w:rPr>
        <w:t>6.6.</w:t>
      </w:r>
      <w:r>
        <w:rPr>
          <w:rStyle w:val="22"/>
          <w:rFonts w:hint="eastAsia" w:ascii="Times New Roman" w:hAnsi="Times New Roman" w:cs="Times New Roman"/>
        </w:rPr>
        <w:t>4</w:t>
      </w:r>
      <w:r>
        <w:rPr>
          <w:rFonts w:cs="Times New Roman"/>
        </w:rPr>
        <w:t>  当墙体施工质量不符合要求时，应经返工、返修后重新进行验收。</w:t>
      </w:r>
    </w:p>
    <w:p>
      <w:pPr>
        <w:snapToGrid w:val="0"/>
        <w:rPr>
          <w:rFonts w:cs="Times New Roman"/>
        </w:rPr>
      </w:pPr>
      <w:r>
        <w:rPr>
          <w:rStyle w:val="22"/>
          <w:rFonts w:ascii="Times New Roman" w:hAnsi="Times New Roman" w:cs="Times New Roman"/>
        </w:rPr>
        <w:t>6.6.</w:t>
      </w:r>
      <w:r>
        <w:rPr>
          <w:rStyle w:val="22"/>
          <w:rFonts w:hint="eastAsia" w:ascii="Times New Roman" w:hAnsi="Times New Roman" w:cs="Times New Roman"/>
        </w:rPr>
        <w:t>5</w:t>
      </w:r>
      <w:r>
        <w:rPr>
          <w:rFonts w:cs="Times New Roman"/>
        </w:rPr>
        <w:t>  墙体工程施工质量验收时，应提供下列文件和记录：</w:t>
      </w:r>
    </w:p>
    <w:p>
      <w:pPr>
        <w:snapToGrid w:val="0"/>
        <w:ind w:firstLine="482" w:firstLineChars="200"/>
        <w:rPr>
          <w:rFonts w:cs="Times New Roman"/>
        </w:rPr>
      </w:pPr>
      <w:r>
        <w:rPr>
          <w:rFonts w:cs="Times New Roman"/>
          <w:b/>
          <w:bCs/>
        </w:rPr>
        <w:t>1</w:t>
      </w:r>
      <w:r>
        <w:rPr>
          <w:rFonts w:cs="Times New Roman"/>
        </w:rPr>
        <w:t xml:space="preserve"> 设计变更文件；</w:t>
      </w:r>
    </w:p>
    <w:p>
      <w:pPr>
        <w:snapToGrid w:val="0"/>
        <w:ind w:firstLine="482" w:firstLineChars="200"/>
        <w:rPr>
          <w:rFonts w:cs="Times New Roman"/>
        </w:rPr>
      </w:pPr>
      <w:r>
        <w:rPr>
          <w:rFonts w:cs="Times New Roman"/>
          <w:b/>
          <w:bCs/>
        </w:rPr>
        <w:t>2</w:t>
      </w:r>
      <w:r>
        <w:rPr>
          <w:rFonts w:cs="Times New Roman"/>
        </w:rPr>
        <w:t xml:space="preserve"> 原材料质量证明文件和抽样检验报告；</w:t>
      </w:r>
    </w:p>
    <w:p>
      <w:pPr>
        <w:snapToGrid w:val="0"/>
        <w:ind w:firstLine="482" w:firstLineChars="200"/>
        <w:rPr>
          <w:rFonts w:cs="Times New Roman"/>
        </w:rPr>
      </w:pPr>
      <w:r>
        <w:rPr>
          <w:rFonts w:cs="Times New Roman"/>
          <w:b/>
          <w:bCs/>
        </w:rPr>
        <w:t>3</w:t>
      </w:r>
      <w:r>
        <w:rPr>
          <w:rFonts w:cs="Times New Roman"/>
        </w:rPr>
        <w:t xml:space="preserve"> 隐蔽工程验收记录；</w:t>
      </w:r>
    </w:p>
    <w:p>
      <w:pPr>
        <w:snapToGrid w:val="0"/>
        <w:ind w:firstLine="482" w:firstLineChars="200"/>
        <w:rPr>
          <w:rFonts w:cs="Times New Roman"/>
        </w:rPr>
      </w:pPr>
      <w:r>
        <w:rPr>
          <w:rFonts w:cs="Times New Roman"/>
          <w:b/>
          <w:bCs/>
        </w:rPr>
        <w:t>4</w:t>
      </w:r>
      <w:r>
        <w:rPr>
          <w:rFonts w:cs="Times New Roman"/>
        </w:rPr>
        <w:t xml:space="preserve"> 混凝土工程施工记录；</w:t>
      </w:r>
    </w:p>
    <w:p>
      <w:pPr>
        <w:snapToGrid w:val="0"/>
        <w:ind w:firstLine="482" w:firstLineChars="200"/>
        <w:rPr>
          <w:rFonts w:cs="Times New Roman"/>
        </w:rPr>
      </w:pPr>
      <w:r>
        <w:rPr>
          <w:rFonts w:cs="Times New Roman"/>
          <w:b/>
          <w:bCs/>
        </w:rPr>
        <w:t>5</w:t>
      </w:r>
      <w:r>
        <w:rPr>
          <w:rFonts w:cs="Times New Roman"/>
        </w:rPr>
        <w:t xml:space="preserve"> 混凝土试件强度试验报告；</w:t>
      </w:r>
    </w:p>
    <w:p>
      <w:pPr>
        <w:snapToGrid w:val="0"/>
        <w:ind w:firstLine="482" w:firstLineChars="200"/>
        <w:rPr>
          <w:rFonts w:cs="Times New Roman"/>
        </w:rPr>
      </w:pPr>
      <w:r>
        <w:rPr>
          <w:rFonts w:cs="Times New Roman"/>
          <w:b/>
          <w:bCs/>
        </w:rPr>
        <w:t>6</w:t>
      </w:r>
      <w:r>
        <w:rPr>
          <w:rFonts w:cs="Times New Roman"/>
        </w:rPr>
        <w:t xml:space="preserve"> 分项工程验收记录；</w:t>
      </w:r>
    </w:p>
    <w:p>
      <w:pPr>
        <w:snapToGrid w:val="0"/>
        <w:ind w:firstLine="482" w:firstLineChars="200"/>
        <w:rPr>
          <w:rFonts w:cs="Times New Roman"/>
        </w:rPr>
      </w:pPr>
      <w:r>
        <w:rPr>
          <w:rFonts w:cs="Times New Roman"/>
          <w:b/>
          <w:bCs/>
        </w:rPr>
        <w:t>7</w:t>
      </w:r>
      <w:r>
        <w:rPr>
          <w:rFonts w:cs="Times New Roman"/>
        </w:rPr>
        <w:t>其他必要的文件和记录。</w:t>
      </w:r>
    </w:p>
    <w:p>
      <w:pPr>
        <w:snapToGrid w:val="0"/>
        <w:rPr>
          <w:rFonts w:cs="Times New Roman"/>
        </w:rPr>
      </w:pPr>
      <w:r>
        <w:rPr>
          <w:rStyle w:val="22"/>
          <w:rFonts w:ascii="Times New Roman" w:hAnsi="Times New Roman" w:cs="Times New Roman"/>
        </w:rPr>
        <w:t>6.6.</w:t>
      </w:r>
      <w:r>
        <w:rPr>
          <w:rStyle w:val="22"/>
          <w:rFonts w:hint="eastAsia" w:ascii="Times New Roman" w:hAnsi="Times New Roman" w:cs="Times New Roman"/>
        </w:rPr>
        <w:t>6</w:t>
      </w:r>
      <w:r>
        <w:rPr>
          <w:rFonts w:cs="Times New Roman"/>
        </w:rPr>
        <w:t>  墙体工程施工质量验收合格后，应将所有的验收文件存档备案。</w:t>
      </w:r>
    </w:p>
    <w:p>
      <w:pPr>
        <w:pStyle w:val="3"/>
        <w:snapToGrid w:val="0"/>
        <w:spacing w:before="0" w:after="0"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bookmarkStart w:id="118" w:name="_Toc28055"/>
      <w:bookmarkStart w:id="119" w:name="_Toc22058"/>
      <w:bookmarkStart w:id="120" w:name="_Toc22193"/>
    </w:p>
    <w:bookmarkEnd w:id="118"/>
    <w:bookmarkEnd w:id="119"/>
    <w:p>
      <w:pPr>
        <w:pStyle w:val="3"/>
      </w:pPr>
      <w:bookmarkStart w:id="121" w:name="_Toc23300"/>
      <w:bookmarkStart w:id="122" w:name="_Toc21637"/>
      <w:r>
        <w:rPr>
          <w:rFonts w:hint="eastAsia"/>
        </w:rPr>
        <w:t>附录A  常用预制构件、连接件主要规格参数</w:t>
      </w:r>
      <w:bookmarkEnd w:id="121"/>
      <w:bookmarkEnd w:id="122"/>
    </w:p>
    <w:p>
      <w:pPr>
        <w:jc w:val="center"/>
        <w:rPr>
          <w:b/>
          <w:bCs/>
          <w:sz w:val="21"/>
          <w:szCs w:val="21"/>
        </w:rPr>
      </w:pPr>
      <w:r>
        <w:rPr>
          <w:rFonts w:hint="eastAsia"/>
          <w:b/>
          <w:bCs/>
          <w:sz w:val="21"/>
          <w:szCs w:val="21"/>
        </w:rPr>
        <w:t>表A.0.1 预制构件主要规格参数</w:t>
      </w:r>
    </w:p>
    <w:tbl>
      <w:tblPr>
        <w:tblStyle w:val="17"/>
        <w:tblW w:w="7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323"/>
        <w:gridCol w:w="588"/>
        <w:gridCol w:w="540"/>
        <w:gridCol w:w="735"/>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6" w:type="dxa"/>
            <w:vMerge w:val="restart"/>
            <w:vAlign w:val="center"/>
          </w:tcPr>
          <w:p>
            <w:pPr>
              <w:jc w:val="center"/>
              <w:rPr>
                <w:sz w:val="18"/>
                <w:szCs w:val="18"/>
              </w:rPr>
            </w:pPr>
            <w:r>
              <w:rPr>
                <w:rFonts w:hint="eastAsia"/>
                <w:sz w:val="18"/>
                <w:szCs w:val="18"/>
              </w:rPr>
              <w:t>名称</w:t>
            </w:r>
          </w:p>
        </w:tc>
        <w:tc>
          <w:tcPr>
            <w:tcW w:w="2323" w:type="dxa"/>
            <w:vMerge w:val="restart"/>
            <w:vAlign w:val="center"/>
          </w:tcPr>
          <w:p>
            <w:pPr>
              <w:jc w:val="center"/>
              <w:rPr>
                <w:sz w:val="18"/>
                <w:szCs w:val="18"/>
              </w:rPr>
            </w:pPr>
            <w:r>
              <w:rPr>
                <w:rFonts w:hint="eastAsia"/>
                <w:sz w:val="18"/>
                <w:szCs w:val="18"/>
              </w:rPr>
              <w:t>截面</w:t>
            </w:r>
          </w:p>
        </w:tc>
        <w:tc>
          <w:tcPr>
            <w:tcW w:w="1863" w:type="dxa"/>
            <w:gridSpan w:val="3"/>
            <w:vAlign w:val="center"/>
          </w:tcPr>
          <w:p>
            <w:pPr>
              <w:jc w:val="center"/>
              <w:rPr>
                <w:sz w:val="18"/>
                <w:szCs w:val="18"/>
              </w:rPr>
            </w:pPr>
            <w:r>
              <w:rPr>
                <w:rFonts w:hint="eastAsia"/>
                <w:sz w:val="18"/>
                <w:szCs w:val="18"/>
              </w:rPr>
              <w:t>规格（mm）</w:t>
            </w:r>
          </w:p>
        </w:tc>
        <w:tc>
          <w:tcPr>
            <w:tcW w:w="3126" w:type="dxa"/>
            <w:vAlign w:val="center"/>
          </w:tcPr>
          <w:p>
            <w:pPr>
              <w:jc w:val="center"/>
              <w:rPr>
                <w:sz w:val="18"/>
                <w:szCs w:val="18"/>
              </w:rPr>
            </w:pPr>
            <w:r>
              <w:rPr>
                <w:rFonts w:hint="eastAsia"/>
                <w:sz w:val="18"/>
                <w:szCs w:val="18"/>
              </w:rPr>
              <w:t>三维示意图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b</w:t>
            </w:r>
          </w:p>
        </w:tc>
        <w:tc>
          <w:tcPr>
            <w:tcW w:w="540" w:type="dxa"/>
            <w:vAlign w:val="center"/>
          </w:tcPr>
          <w:p>
            <w:pPr>
              <w:jc w:val="center"/>
              <w:rPr>
                <w:sz w:val="18"/>
                <w:szCs w:val="18"/>
              </w:rPr>
            </w:pPr>
            <w:r>
              <w:rPr>
                <w:rFonts w:hint="eastAsia"/>
                <w:sz w:val="18"/>
                <w:szCs w:val="18"/>
              </w:rPr>
              <w:t>b1</w:t>
            </w:r>
          </w:p>
        </w:tc>
        <w:tc>
          <w:tcPr>
            <w:tcW w:w="735" w:type="dxa"/>
            <w:vAlign w:val="center"/>
          </w:tcPr>
          <w:p>
            <w:pPr>
              <w:jc w:val="center"/>
              <w:rPr>
                <w:sz w:val="18"/>
                <w:szCs w:val="18"/>
              </w:rPr>
            </w:pPr>
            <w:r>
              <w:rPr>
                <w:rFonts w:hint="eastAsia"/>
                <w:sz w:val="18"/>
                <w:szCs w:val="18"/>
              </w:rPr>
              <w:t>t</w:t>
            </w:r>
          </w:p>
        </w:tc>
        <w:tc>
          <w:tcPr>
            <w:tcW w:w="312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Merge w:val="restart"/>
            <w:vAlign w:val="center"/>
          </w:tcPr>
          <w:p>
            <w:pPr>
              <w:jc w:val="center"/>
              <w:rPr>
                <w:sz w:val="18"/>
                <w:szCs w:val="18"/>
              </w:rPr>
            </w:pPr>
            <w:r>
              <w:rPr>
                <w:rFonts w:hint="eastAsia"/>
                <w:sz w:val="18"/>
                <w:szCs w:val="18"/>
              </w:rPr>
              <w:t>墙面板</w:t>
            </w:r>
          </w:p>
        </w:tc>
        <w:tc>
          <w:tcPr>
            <w:tcW w:w="2323" w:type="dxa"/>
            <w:vMerge w:val="restart"/>
            <w:vAlign w:val="center"/>
          </w:tcPr>
          <w:p>
            <w:pPr>
              <w:jc w:val="center"/>
              <w:rPr>
                <w:sz w:val="18"/>
                <w:szCs w:val="18"/>
              </w:rPr>
            </w:pPr>
            <w:r>
              <w:rPr>
                <w:rFonts w:hint="eastAsia"/>
                <w:sz w:val="18"/>
                <w:szCs w:val="18"/>
              </w:rPr>
              <w:drawing>
                <wp:inline distT="0" distB="0" distL="114300" distR="114300">
                  <wp:extent cx="1332230" cy="854075"/>
                  <wp:effectExtent l="0" t="0" r="1270" b="3175"/>
                  <wp:docPr id="11" name="图片 11" descr="F:/2023/标准/图片/QQ浏览器截图20231225150233.pngQQ浏览器截图2023122515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2023/标准/图片/QQ浏览器截图20231225150233.pngQQ浏览器截图20231225150233"/>
                          <pic:cNvPicPr>
                            <a:picLocks noChangeAspect="1"/>
                          </pic:cNvPicPr>
                        </pic:nvPicPr>
                        <pic:blipFill>
                          <a:blip r:embed="rId29"/>
                          <a:srcRect l="-606" r="352"/>
                          <a:stretch>
                            <a:fillRect/>
                          </a:stretch>
                        </pic:blipFill>
                        <pic:spPr>
                          <a:xfrm>
                            <a:off x="0" y="0"/>
                            <a:ext cx="1332230" cy="854075"/>
                          </a:xfrm>
                          <a:prstGeom prst="rect">
                            <a:avLst/>
                          </a:prstGeom>
                        </pic:spPr>
                      </pic:pic>
                    </a:graphicData>
                  </a:graphic>
                </wp:inline>
              </w:drawing>
            </w:r>
          </w:p>
        </w:tc>
        <w:tc>
          <w:tcPr>
            <w:tcW w:w="588" w:type="dxa"/>
            <w:vAlign w:val="center"/>
          </w:tcPr>
          <w:p>
            <w:pPr>
              <w:jc w:val="center"/>
              <w:rPr>
                <w:sz w:val="18"/>
                <w:szCs w:val="18"/>
              </w:rPr>
            </w:pPr>
            <w:r>
              <w:rPr>
                <w:rFonts w:hint="eastAsia"/>
                <w:sz w:val="18"/>
                <w:szCs w:val="18"/>
              </w:rPr>
              <w:t>500</w:t>
            </w:r>
          </w:p>
        </w:tc>
        <w:tc>
          <w:tcPr>
            <w:tcW w:w="540" w:type="dxa"/>
            <w:vMerge w:val="restart"/>
            <w:vAlign w:val="center"/>
          </w:tcPr>
          <w:p>
            <w:pPr>
              <w:jc w:val="center"/>
              <w:rPr>
                <w:sz w:val="18"/>
                <w:szCs w:val="18"/>
              </w:rPr>
            </w:pPr>
            <w:r>
              <w:rPr>
                <w:rFonts w:hint="eastAsia"/>
                <w:sz w:val="18"/>
                <w:szCs w:val="18"/>
              </w:rPr>
              <w:t>-</w:t>
            </w:r>
          </w:p>
        </w:tc>
        <w:tc>
          <w:tcPr>
            <w:tcW w:w="735" w:type="dxa"/>
            <w:vMerge w:val="restart"/>
            <w:vAlign w:val="center"/>
          </w:tcPr>
          <w:p>
            <w:pPr>
              <w:jc w:val="center"/>
              <w:rPr>
                <w:sz w:val="18"/>
                <w:szCs w:val="18"/>
              </w:rPr>
            </w:pPr>
            <w:r>
              <w:rPr>
                <w:rFonts w:hint="eastAsia"/>
                <w:sz w:val="18"/>
                <w:szCs w:val="18"/>
              </w:rPr>
              <w:t>30</w:t>
            </w:r>
          </w:p>
        </w:tc>
        <w:tc>
          <w:tcPr>
            <w:tcW w:w="3126" w:type="dxa"/>
            <w:vMerge w:val="restart"/>
            <w:vAlign w:val="center"/>
          </w:tcPr>
          <w:p>
            <w:pPr>
              <w:jc w:val="center"/>
              <w:rPr>
                <w:sz w:val="18"/>
                <w:szCs w:val="18"/>
              </w:rPr>
            </w:pPr>
            <w:r>
              <w:rPr>
                <w:rFonts w:hint="eastAsia"/>
                <w:sz w:val="18"/>
                <w:szCs w:val="18"/>
              </w:rPr>
              <w:drawing>
                <wp:inline distT="0" distB="0" distL="114300" distR="114300">
                  <wp:extent cx="1837690" cy="1137920"/>
                  <wp:effectExtent l="0" t="0" r="10160" b="5080"/>
                  <wp:docPr id="7" name="图片 7" descr="F:/2023/标准/图片/QQ浏览器截图20231225150109.pngQQ浏览器截图2023122515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2023/标准/图片/QQ浏览器截图20231225150109.pngQQ浏览器截图20231225150109"/>
                          <pic:cNvPicPr>
                            <a:picLocks noChangeAspect="1"/>
                          </pic:cNvPicPr>
                        </pic:nvPicPr>
                        <pic:blipFill>
                          <a:blip r:embed="rId30"/>
                          <a:srcRect t="-1005" b="3041"/>
                          <a:stretch>
                            <a:fillRect/>
                          </a:stretch>
                        </pic:blipFill>
                        <pic:spPr>
                          <a:xfrm>
                            <a:off x="0" y="0"/>
                            <a:ext cx="1837690" cy="1137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400</w:t>
            </w:r>
          </w:p>
        </w:tc>
        <w:tc>
          <w:tcPr>
            <w:tcW w:w="540" w:type="dxa"/>
            <w:vMerge w:val="continue"/>
            <w:vAlign w:val="center"/>
          </w:tcPr>
          <w:p>
            <w:pPr>
              <w:jc w:val="center"/>
              <w:rPr>
                <w:sz w:val="18"/>
                <w:szCs w:val="18"/>
              </w:rPr>
            </w:pPr>
          </w:p>
        </w:tc>
        <w:tc>
          <w:tcPr>
            <w:tcW w:w="735" w:type="dxa"/>
            <w:vMerge w:val="continue"/>
            <w:vAlign w:val="center"/>
          </w:tcPr>
          <w:p>
            <w:pPr>
              <w:jc w:val="center"/>
              <w:rPr>
                <w:sz w:val="18"/>
                <w:szCs w:val="18"/>
              </w:rPr>
            </w:pPr>
          </w:p>
        </w:tc>
        <w:tc>
          <w:tcPr>
            <w:tcW w:w="312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300</w:t>
            </w:r>
          </w:p>
        </w:tc>
        <w:tc>
          <w:tcPr>
            <w:tcW w:w="540" w:type="dxa"/>
            <w:vMerge w:val="continue"/>
            <w:vAlign w:val="center"/>
          </w:tcPr>
          <w:p>
            <w:pPr>
              <w:jc w:val="center"/>
              <w:rPr>
                <w:sz w:val="18"/>
                <w:szCs w:val="18"/>
              </w:rPr>
            </w:pPr>
          </w:p>
        </w:tc>
        <w:tc>
          <w:tcPr>
            <w:tcW w:w="735" w:type="dxa"/>
            <w:vMerge w:val="continue"/>
            <w:vAlign w:val="center"/>
          </w:tcPr>
          <w:p>
            <w:pPr>
              <w:jc w:val="center"/>
              <w:rPr>
                <w:sz w:val="18"/>
                <w:szCs w:val="18"/>
              </w:rPr>
            </w:pPr>
          </w:p>
        </w:tc>
        <w:tc>
          <w:tcPr>
            <w:tcW w:w="312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200</w:t>
            </w:r>
          </w:p>
        </w:tc>
        <w:tc>
          <w:tcPr>
            <w:tcW w:w="540" w:type="dxa"/>
            <w:vMerge w:val="continue"/>
            <w:vAlign w:val="center"/>
          </w:tcPr>
          <w:p>
            <w:pPr>
              <w:jc w:val="center"/>
              <w:rPr>
                <w:sz w:val="18"/>
                <w:szCs w:val="18"/>
              </w:rPr>
            </w:pPr>
          </w:p>
        </w:tc>
        <w:tc>
          <w:tcPr>
            <w:tcW w:w="735" w:type="dxa"/>
            <w:vMerge w:val="continue"/>
            <w:vAlign w:val="center"/>
          </w:tcPr>
          <w:p>
            <w:pPr>
              <w:jc w:val="center"/>
              <w:rPr>
                <w:sz w:val="18"/>
                <w:szCs w:val="18"/>
              </w:rPr>
            </w:pPr>
          </w:p>
        </w:tc>
        <w:tc>
          <w:tcPr>
            <w:tcW w:w="312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56" w:type="dxa"/>
            <w:vMerge w:val="restart"/>
            <w:vAlign w:val="center"/>
          </w:tcPr>
          <w:p>
            <w:pPr>
              <w:jc w:val="center"/>
              <w:rPr>
                <w:sz w:val="18"/>
                <w:szCs w:val="18"/>
              </w:rPr>
            </w:pPr>
            <w:r>
              <w:rPr>
                <w:rFonts w:hint="eastAsia"/>
                <w:sz w:val="18"/>
                <w:szCs w:val="18"/>
              </w:rPr>
              <w:t>过梁板</w:t>
            </w:r>
          </w:p>
        </w:tc>
        <w:tc>
          <w:tcPr>
            <w:tcW w:w="2323" w:type="dxa"/>
            <w:vMerge w:val="restart"/>
            <w:vAlign w:val="center"/>
          </w:tcPr>
          <w:p>
            <w:pPr>
              <w:jc w:val="center"/>
              <w:rPr>
                <w:sz w:val="18"/>
                <w:szCs w:val="18"/>
              </w:rPr>
            </w:pPr>
            <w:r>
              <w:rPr>
                <w:rFonts w:hint="eastAsia"/>
                <w:sz w:val="18"/>
                <w:szCs w:val="18"/>
              </w:rPr>
              <w:drawing>
                <wp:inline distT="0" distB="0" distL="114300" distR="114300">
                  <wp:extent cx="1332230" cy="966470"/>
                  <wp:effectExtent l="0" t="0" r="1270" b="5080"/>
                  <wp:docPr id="623769472" name="图片 623769472" descr="F:/2023/标准/图片/QQ截图20240123164256.jpgQQ截图2024012316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9472" name="图片 623769472" descr="F:/2023/标准/图片/QQ截图20240123164256.jpgQQ截图20240123164256"/>
                          <pic:cNvPicPr>
                            <a:picLocks noChangeAspect="1"/>
                          </pic:cNvPicPr>
                        </pic:nvPicPr>
                        <pic:blipFill>
                          <a:blip r:embed="rId31"/>
                          <a:srcRect t="310" b="310"/>
                          <a:stretch>
                            <a:fillRect/>
                          </a:stretch>
                        </pic:blipFill>
                        <pic:spPr>
                          <a:xfrm>
                            <a:off x="0" y="0"/>
                            <a:ext cx="1332230" cy="966470"/>
                          </a:xfrm>
                          <a:prstGeom prst="rect">
                            <a:avLst/>
                          </a:prstGeom>
                        </pic:spPr>
                      </pic:pic>
                    </a:graphicData>
                  </a:graphic>
                </wp:inline>
              </w:drawing>
            </w:r>
          </w:p>
          <w:p>
            <w:pPr>
              <w:pStyle w:val="2"/>
              <w:jc w:val="both"/>
            </w:pPr>
          </w:p>
          <w:p>
            <w:pPr>
              <w:jc w:val="center"/>
              <w:rPr>
                <w:sz w:val="18"/>
                <w:szCs w:val="18"/>
              </w:rPr>
            </w:pPr>
            <w:r>
              <w:rPr>
                <w:rFonts w:hint="eastAsia"/>
                <w:sz w:val="18"/>
                <w:szCs w:val="18"/>
              </w:rPr>
              <w:drawing>
                <wp:inline distT="0" distB="0" distL="114300" distR="114300">
                  <wp:extent cx="1332230" cy="966470"/>
                  <wp:effectExtent l="0" t="0" r="1270" b="5080"/>
                  <wp:docPr id="12" name="图片 12" descr="F:/2023/标准/图片/QQ浏览器截图20231225150326.pngQQ浏览器截图2023122515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023/标准/图片/QQ浏览器截图20231225150326.pngQQ浏览器截图20231225150326"/>
                          <pic:cNvPicPr>
                            <a:picLocks noChangeAspect="1"/>
                          </pic:cNvPicPr>
                        </pic:nvPicPr>
                        <pic:blipFill>
                          <a:blip r:embed="rId32"/>
                          <a:srcRect l="8502" r="8502"/>
                          <a:stretch>
                            <a:fillRect/>
                          </a:stretch>
                        </pic:blipFill>
                        <pic:spPr>
                          <a:xfrm>
                            <a:off x="0" y="0"/>
                            <a:ext cx="1332230" cy="966470"/>
                          </a:xfrm>
                          <a:prstGeom prst="rect">
                            <a:avLst/>
                          </a:prstGeom>
                        </pic:spPr>
                      </pic:pic>
                    </a:graphicData>
                  </a:graphic>
                </wp:inline>
              </w:drawing>
            </w:r>
          </w:p>
        </w:tc>
        <w:tc>
          <w:tcPr>
            <w:tcW w:w="588" w:type="dxa"/>
            <w:vAlign w:val="center"/>
          </w:tcPr>
          <w:p>
            <w:pPr>
              <w:jc w:val="center"/>
              <w:rPr>
                <w:sz w:val="18"/>
                <w:szCs w:val="18"/>
              </w:rPr>
            </w:pPr>
            <w:r>
              <w:rPr>
                <w:rFonts w:hint="eastAsia"/>
                <w:sz w:val="18"/>
                <w:szCs w:val="18"/>
              </w:rPr>
              <w:t>198</w:t>
            </w:r>
          </w:p>
        </w:tc>
        <w:tc>
          <w:tcPr>
            <w:tcW w:w="540" w:type="dxa"/>
            <w:vAlign w:val="center"/>
          </w:tcPr>
          <w:p>
            <w:pPr>
              <w:jc w:val="center"/>
              <w:rPr>
                <w:sz w:val="18"/>
                <w:szCs w:val="18"/>
              </w:rPr>
            </w:pPr>
            <w:r>
              <w:rPr>
                <w:rFonts w:hint="eastAsia"/>
                <w:sz w:val="18"/>
                <w:szCs w:val="18"/>
              </w:rPr>
              <w:t>90</w:t>
            </w:r>
          </w:p>
        </w:tc>
        <w:tc>
          <w:tcPr>
            <w:tcW w:w="735" w:type="dxa"/>
            <w:vMerge w:val="restart"/>
            <w:vAlign w:val="center"/>
          </w:tcPr>
          <w:p>
            <w:pPr>
              <w:jc w:val="center"/>
              <w:rPr>
                <w:sz w:val="18"/>
                <w:szCs w:val="18"/>
              </w:rPr>
            </w:pPr>
            <w:r>
              <w:rPr>
                <w:rFonts w:hint="eastAsia"/>
                <w:sz w:val="18"/>
                <w:szCs w:val="18"/>
              </w:rPr>
              <w:t>30</w:t>
            </w:r>
          </w:p>
        </w:tc>
        <w:tc>
          <w:tcPr>
            <w:tcW w:w="3126" w:type="dxa"/>
            <w:vMerge w:val="restart"/>
            <w:vAlign w:val="center"/>
          </w:tcPr>
          <w:p>
            <w:pPr>
              <w:jc w:val="center"/>
              <w:rPr>
                <w:sz w:val="18"/>
                <w:szCs w:val="18"/>
              </w:rPr>
            </w:pPr>
            <w:r>
              <w:rPr>
                <w:rFonts w:hint="eastAsia"/>
                <w:sz w:val="18"/>
                <w:szCs w:val="18"/>
              </w:rPr>
              <w:drawing>
                <wp:inline distT="0" distB="0" distL="114300" distR="114300">
                  <wp:extent cx="1845945" cy="1165225"/>
                  <wp:effectExtent l="0" t="0" r="1905" b="15875"/>
                  <wp:docPr id="623769473" name="图片 623769473" descr="F:/2023/标准/图片/QQ浏览器截图20231225150109.pngQQ浏览器截图2023122515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9473" name="图片 623769473" descr="F:/2023/标准/图片/QQ浏览器截图20231225150109.pngQQ浏览器截图20231225150109"/>
                          <pic:cNvPicPr>
                            <a:picLocks noChangeAspect="1"/>
                          </pic:cNvPicPr>
                        </pic:nvPicPr>
                        <pic:blipFill>
                          <a:blip r:embed="rId33"/>
                          <a:srcRect t="69" b="69"/>
                          <a:stretch>
                            <a:fillRect/>
                          </a:stretch>
                        </pic:blipFill>
                        <pic:spPr>
                          <a:xfrm>
                            <a:off x="0" y="0"/>
                            <a:ext cx="1845945" cy="1165225"/>
                          </a:xfrm>
                          <a:prstGeom prst="rect">
                            <a:avLst/>
                          </a:prstGeom>
                        </pic:spPr>
                      </pic:pic>
                    </a:graphicData>
                  </a:graphic>
                </wp:inline>
              </w:drawing>
            </w:r>
          </w:p>
          <w:p>
            <w:pPr>
              <w:jc w:val="center"/>
              <w:rPr>
                <w:sz w:val="18"/>
                <w:szCs w:val="18"/>
              </w:rPr>
            </w:pPr>
          </w:p>
          <w:p>
            <w:pPr>
              <w:jc w:val="center"/>
              <w:rPr>
                <w:sz w:val="18"/>
                <w:szCs w:val="18"/>
              </w:rPr>
            </w:pPr>
            <w:r>
              <w:rPr>
                <w:rFonts w:hint="eastAsia"/>
                <w:sz w:val="18"/>
                <w:szCs w:val="18"/>
              </w:rPr>
              <w:drawing>
                <wp:inline distT="0" distB="0" distL="114300" distR="114300">
                  <wp:extent cx="1845945" cy="1165225"/>
                  <wp:effectExtent l="0" t="0" r="1905" b="15875"/>
                  <wp:docPr id="8" name="图片 8" descr="F:/2023/标准/图片/QQ截图20240124140311.jpgQQ截图2024012414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2023/标准/图片/QQ截图20240124140311.jpgQQ截图20240124140311"/>
                          <pic:cNvPicPr>
                            <a:picLocks noChangeAspect="1"/>
                          </pic:cNvPicPr>
                        </pic:nvPicPr>
                        <pic:blipFill>
                          <a:blip r:embed="rId34"/>
                          <a:srcRect l="1035" r="1035"/>
                          <a:stretch>
                            <a:fillRect/>
                          </a:stretch>
                        </pic:blipFill>
                        <pic:spPr>
                          <a:xfrm>
                            <a:off x="0" y="0"/>
                            <a:ext cx="1845945" cy="1165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56" w:type="dxa"/>
            <w:vMerge w:val="continue"/>
            <w:vAlign w:val="center"/>
          </w:tcPr>
          <w:p>
            <w:pPr>
              <w:jc w:val="center"/>
              <w:rPr>
                <w:sz w:val="18"/>
                <w:szCs w:val="18"/>
              </w:rPr>
            </w:pPr>
          </w:p>
        </w:tc>
        <w:tc>
          <w:tcPr>
            <w:tcW w:w="2323" w:type="dxa"/>
            <w:vMerge w:val="continue"/>
            <w:vAlign w:val="center"/>
          </w:tcPr>
          <w:p>
            <w:pPr>
              <w:jc w:val="center"/>
              <w:rPr>
                <w:sz w:val="18"/>
                <w:szCs w:val="18"/>
              </w:rPr>
            </w:pPr>
          </w:p>
        </w:tc>
        <w:tc>
          <w:tcPr>
            <w:tcW w:w="588" w:type="dxa"/>
            <w:vAlign w:val="center"/>
          </w:tcPr>
          <w:p>
            <w:pPr>
              <w:jc w:val="center"/>
              <w:rPr>
                <w:sz w:val="18"/>
                <w:szCs w:val="18"/>
              </w:rPr>
            </w:pPr>
            <w:r>
              <w:rPr>
                <w:rFonts w:hint="eastAsia"/>
                <w:sz w:val="18"/>
                <w:szCs w:val="18"/>
              </w:rPr>
              <w:t>98</w:t>
            </w:r>
          </w:p>
        </w:tc>
        <w:tc>
          <w:tcPr>
            <w:tcW w:w="540" w:type="dxa"/>
            <w:vAlign w:val="center"/>
          </w:tcPr>
          <w:p>
            <w:pPr>
              <w:jc w:val="center"/>
              <w:rPr>
                <w:sz w:val="18"/>
                <w:szCs w:val="18"/>
              </w:rPr>
            </w:pPr>
            <w:r>
              <w:rPr>
                <w:rFonts w:hint="eastAsia"/>
                <w:sz w:val="18"/>
                <w:szCs w:val="18"/>
              </w:rPr>
              <w:t>40</w:t>
            </w:r>
          </w:p>
        </w:tc>
        <w:tc>
          <w:tcPr>
            <w:tcW w:w="735" w:type="dxa"/>
            <w:vMerge w:val="continue"/>
            <w:vAlign w:val="center"/>
          </w:tcPr>
          <w:p>
            <w:pPr>
              <w:jc w:val="center"/>
              <w:rPr>
                <w:sz w:val="18"/>
                <w:szCs w:val="18"/>
              </w:rPr>
            </w:pPr>
          </w:p>
        </w:tc>
        <w:tc>
          <w:tcPr>
            <w:tcW w:w="312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56" w:type="dxa"/>
            <w:vMerge w:val="restart"/>
            <w:vAlign w:val="center"/>
          </w:tcPr>
          <w:p>
            <w:pPr>
              <w:jc w:val="center"/>
              <w:rPr>
                <w:sz w:val="18"/>
                <w:szCs w:val="18"/>
              </w:rPr>
            </w:pPr>
            <w:r>
              <w:rPr>
                <w:rFonts w:hint="eastAsia"/>
                <w:sz w:val="18"/>
                <w:szCs w:val="18"/>
              </w:rPr>
              <w:t>洞口</w:t>
            </w:r>
          </w:p>
          <w:p>
            <w:pPr>
              <w:jc w:val="center"/>
              <w:rPr>
                <w:sz w:val="18"/>
                <w:szCs w:val="18"/>
              </w:rPr>
            </w:pPr>
            <w:r>
              <w:rPr>
                <w:rFonts w:hint="eastAsia"/>
                <w:sz w:val="18"/>
                <w:szCs w:val="18"/>
              </w:rPr>
              <w:t>板</w:t>
            </w:r>
          </w:p>
        </w:tc>
        <w:tc>
          <w:tcPr>
            <w:tcW w:w="2323" w:type="dxa"/>
            <w:vMerge w:val="restart"/>
            <w:vAlign w:val="center"/>
          </w:tcPr>
          <w:p>
            <w:pPr>
              <w:jc w:val="center"/>
              <w:rPr>
                <w:sz w:val="18"/>
                <w:szCs w:val="18"/>
              </w:rPr>
            </w:pPr>
            <w:r>
              <w:rPr>
                <w:rFonts w:hint="eastAsia"/>
                <w:sz w:val="18"/>
                <w:szCs w:val="18"/>
              </w:rPr>
              <w:drawing>
                <wp:inline distT="0" distB="0" distL="114300" distR="114300">
                  <wp:extent cx="1332230" cy="975995"/>
                  <wp:effectExtent l="0" t="0" r="1270" b="14605"/>
                  <wp:docPr id="623769474" name="图片 623769474" descr="F:/2023/标准/图片/QQ截图20240123164245.jpgQQ截图2024012316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9474" name="图片 623769474" descr="F:/2023/标准/图片/QQ截图20240123164245.jpgQQ截图20240123164245"/>
                          <pic:cNvPicPr>
                            <a:picLocks noChangeAspect="1"/>
                          </pic:cNvPicPr>
                        </pic:nvPicPr>
                        <pic:blipFill>
                          <a:blip r:embed="rId35"/>
                          <a:srcRect l="358" r="358"/>
                          <a:stretch>
                            <a:fillRect/>
                          </a:stretch>
                        </pic:blipFill>
                        <pic:spPr>
                          <a:xfrm>
                            <a:off x="0" y="0"/>
                            <a:ext cx="1332230" cy="975995"/>
                          </a:xfrm>
                          <a:prstGeom prst="rect">
                            <a:avLst/>
                          </a:prstGeom>
                        </pic:spPr>
                      </pic:pic>
                    </a:graphicData>
                  </a:graphic>
                </wp:inline>
              </w:drawing>
            </w:r>
          </w:p>
          <w:p>
            <w:pPr>
              <w:pStyle w:val="2"/>
              <w:jc w:val="both"/>
            </w:pPr>
          </w:p>
          <w:p>
            <w:pPr>
              <w:jc w:val="center"/>
            </w:pPr>
            <w:r>
              <w:rPr>
                <w:rFonts w:hint="eastAsia"/>
                <w:sz w:val="18"/>
                <w:szCs w:val="18"/>
              </w:rPr>
              <w:drawing>
                <wp:inline distT="0" distB="0" distL="114300" distR="114300">
                  <wp:extent cx="1332230" cy="975995"/>
                  <wp:effectExtent l="0" t="0" r="1270" b="14605"/>
                  <wp:docPr id="13" name="图片 13" descr="F:/2023/标准/图片/QQ浏览器截图20231225150349.pngQQ浏览器截图2023122515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2023/标准/图片/QQ浏览器截图20231225150349.pngQQ浏览器截图20231225150349"/>
                          <pic:cNvPicPr>
                            <a:picLocks noChangeAspect="1"/>
                          </pic:cNvPicPr>
                        </pic:nvPicPr>
                        <pic:blipFill>
                          <a:blip r:embed="rId36"/>
                          <a:srcRect t="1532" b="1532"/>
                          <a:stretch>
                            <a:fillRect/>
                          </a:stretch>
                        </pic:blipFill>
                        <pic:spPr>
                          <a:xfrm>
                            <a:off x="0" y="0"/>
                            <a:ext cx="1332230" cy="975995"/>
                          </a:xfrm>
                          <a:prstGeom prst="rect">
                            <a:avLst/>
                          </a:prstGeom>
                        </pic:spPr>
                      </pic:pic>
                    </a:graphicData>
                  </a:graphic>
                </wp:inline>
              </w:drawing>
            </w:r>
          </w:p>
        </w:tc>
        <w:tc>
          <w:tcPr>
            <w:tcW w:w="588" w:type="dxa"/>
            <w:vAlign w:val="center"/>
          </w:tcPr>
          <w:p>
            <w:pPr>
              <w:jc w:val="center"/>
              <w:rPr>
                <w:sz w:val="18"/>
                <w:szCs w:val="18"/>
              </w:rPr>
            </w:pPr>
            <w:r>
              <w:rPr>
                <w:rFonts w:hint="eastAsia"/>
                <w:sz w:val="18"/>
                <w:szCs w:val="18"/>
              </w:rPr>
              <w:t>198</w:t>
            </w:r>
          </w:p>
        </w:tc>
        <w:tc>
          <w:tcPr>
            <w:tcW w:w="540" w:type="dxa"/>
            <w:vAlign w:val="center"/>
          </w:tcPr>
          <w:p>
            <w:pPr>
              <w:jc w:val="center"/>
              <w:rPr>
                <w:sz w:val="18"/>
                <w:szCs w:val="18"/>
              </w:rPr>
            </w:pPr>
            <w:r>
              <w:rPr>
                <w:rFonts w:hint="eastAsia"/>
                <w:sz w:val="18"/>
                <w:szCs w:val="18"/>
              </w:rPr>
              <w:t>90</w:t>
            </w:r>
          </w:p>
        </w:tc>
        <w:tc>
          <w:tcPr>
            <w:tcW w:w="735" w:type="dxa"/>
            <w:vMerge w:val="restart"/>
            <w:vAlign w:val="center"/>
          </w:tcPr>
          <w:p>
            <w:pPr>
              <w:jc w:val="center"/>
              <w:rPr>
                <w:sz w:val="18"/>
                <w:szCs w:val="18"/>
              </w:rPr>
            </w:pPr>
            <w:r>
              <w:rPr>
                <w:rFonts w:hint="eastAsia"/>
                <w:sz w:val="18"/>
                <w:szCs w:val="18"/>
              </w:rPr>
              <w:t>60</w:t>
            </w:r>
          </w:p>
        </w:tc>
        <w:tc>
          <w:tcPr>
            <w:tcW w:w="3126" w:type="dxa"/>
            <w:vMerge w:val="restart"/>
            <w:vAlign w:val="center"/>
          </w:tcPr>
          <w:p>
            <w:pPr>
              <w:jc w:val="center"/>
              <w:rPr>
                <w:sz w:val="18"/>
                <w:szCs w:val="18"/>
              </w:rPr>
            </w:pPr>
            <w:r>
              <w:rPr>
                <w:rFonts w:hint="eastAsia"/>
                <w:sz w:val="18"/>
                <w:szCs w:val="18"/>
              </w:rPr>
              <w:drawing>
                <wp:inline distT="0" distB="0" distL="114300" distR="114300">
                  <wp:extent cx="1845945" cy="1252855"/>
                  <wp:effectExtent l="0" t="0" r="1905" b="4445"/>
                  <wp:docPr id="38" name="图片 38" descr="F:/2023/标准/图片/QQ截图20240123164111.jpgQQ截图2024012316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2023/标准/图片/QQ截图20240123164111.jpgQQ截图20240123164111"/>
                          <pic:cNvPicPr>
                            <a:picLocks noChangeAspect="1"/>
                          </pic:cNvPicPr>
                        </pic:nvPicPr>
                        <pic:blipFill>
                          <a:blip r:embed="rId37"/>
                          <a:srcRect t="998" b="998"/>
                          <a:stretch>
                            <a:fillRect/>
                          </a:stretch>
                        </pic:blipFill>
                        <pic:spPr>
                          <a:xfrm>
                            <a:off x="0" y="0"/>
                            <a:ext cx="1845945" cy="1252855"/>
                          </a:xfrm>
                          <a:prstGeom prst="rect">
                            <a:avLst/>
                          </a:prstGeom>
                        </pic:spPr>
                      </pic:pic>
                    </a:graphicData>
                  </a:graphic>
                </wp:inline>
              </w:drawing>
            </w:r>
            <w:r>
              <w:rPr>
                <w:rFonts w:hint="eastAsia"/>
                <w:sz w:val="18"/>
                <w:szCs w:val="18"/>
              </w:rPr>
              <w:drawing>
                <wp:inline distT="0" distB="0" distL="114300" distR="114300">
                  <wp:extent cx="1845945" cy="1252855"/>
                  <wp:effectExtent l="0" t="0" r="1905" b="4445"/>
                  <wp:docPr id="10" name="图片 10" descr="F:/2023/标准/图片/QQ截图20240124135859.jpgQQ截图202401241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2023/标准/图片/QQ截图20240124135859.jpgQQ截图20240124135859"/>
                          <pic:cNvPicPr>
                            <a:picLocks noChangeAspect="1"/>
                          </pic:cNvPicPr>
                        </pic:nvPicPr>
                        <pic:blipFill>
                          <a:blip r:embed="rId38"/>
                          <a:srcRect l="1292" r="1292"/>
                          <a:stretch>
                            <a:fillRect/>
                          </a:stretch>
                        </pic:blipFill>
                        <pic:spPr>
                          <a:xfrm>
                            <a:off x="0" y="0"/>
                            <a:ext cx="1845945" cy="1252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56" w:type="dxa"/>
            <w:vMerge w:val="continue"/>
            <w:vAlign w:val="center"/>
          </w:tcPr>
          <w:p>
            <w:pPr>
              <w:jc w:val="center"/>
            </w:pPr>
          </w:p>
        </w:tc>
        <w:tc>
          <w:tcPr>
            <w:tcW w:w="2323" w:type="dxa"/>
            <w:vMerge w:val="continue"/>
            <w:vAlign w:val="center"/>
          </w:tcPr>
          <w:p>
            <w:pPr>
              <w:jc w:val="center"/>
            </w:pPr>
          </w:p>
        </w:tc>
        <w:tc>
          <w:tcPr>
            <w:tcW w:w="588" w:type="dxa"/>
            <w:vAlign w:val="center"/>
          </w:tcPr>
          <w:p>
            <w:pPr>
              <w:jc w:val="center"/>
              <w:rPr>
                <w:sz w:val="18"/>
                <w:szCs w:val="18"/>
              </w:rPr>
            </w:pPr>
            <w:r>
              <w:rPr>
                <w:rFonts w:hint="eastAsia"/>
                <w:sz w:val="18"/>
                <w:szCs w:val="18"/>
              </w:rPr>
              <w:t>98</w:t>
            </w:r>
          </w:p>
        </w:tc>
        <w:tc>
          <w:tcPr>
            <w:tcW w:w="540" w:type="dxa"/>
            <w:vAlign w:val="center"/>
          </w:tcPr>
          <w:p>
            <w:pPr>
              <w:jc w:val="center"/>
              <w:rPr>
                <w:sz w:val="18"/>
                <w:szCs w:val="18"/>
              </w:rPr>
            </w:pPr>
            <w:r>
              <w:rPr>
                <w:rFonts w:hint="eastAsia"/>
                <w:sz w:val="18"/>
                <w:szCs w:val="18"/>
              </w:rPr>
              <w:t>40</w:t>
            </w:r>
          </w:p>
        </w:tc>
        <w:tc>
          <w:tcPr>
            <w:tcW w:w="735" w:type="dxa"/>
            <w:vMerge w:val="continue"/>
            <w:vAlign w:val="center"/>
          </w:tcPr>
          <w:p>
            <w:pPr>
              <w:jc w:val="center"/>
            </w:pPr>
          </w:p>
        </w:tc>
        <w:tc>
          <w:tcPr>
            <w:tcW w:w="3126" w:type="dxa"/>
            <w:vMerge w:val="continue"/>
            <w:vAlign w:val="center"/>
          </w:tcPr>
          <w:p>
            <w:pPr>
              <w:jc w:val="center"/>
            </w:pPr>
          </w:p>
        </w:tc>
      </w:tr>
    </w:tbl>
    <w:p>
      <w:pPr>
        <w:jc w:val="center"/>
        <w:rPr>
          <w:b/>
          <w:bCs/>
          <w:sz w:val="21"/>
          <w:szCs w:val="21"/>
        </w:rPr>
      </w:pPr>
    </w:p>
    <w:p>
      <w:pPr>
        <w:jc w:val="center"/>
        <w:rPr>
          <w:b/>
          <w:bCs/>
          <w:sz w:val="21"/>
          <w:szCs w:val="21"/>
        </w:rPr>
      </w:pPr>
      <w:r>
        <w:rPr>
          <w:rFonts w:hint="eastAsia"/>
          <w:b/>
          <w:bCs/>
          <w:sz w:val="21"/>
          <w:szCs w:val="21"/>
        </w:rPr>
        <w:t>表A.0.2 连接件主要规格参数</w:t>
      </w:r>
    </w:p>
    <w:tbl>
      <w:tblPr>
        <w:tblStyle w:val="17"/>
        <w:tblW w:w="8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794"/>
        <w:gridCol w:w="798"/>
        <w:gridCol w:w="79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2" w:type="dxa"/>
            <w:vMerge w:val="restart"/>
            <w:vAlign w:val="center"/>
          </w:tcPr>
          <w:p>
            <w:pPr>
              <w:jc w:val="center"/>
              <w:rPr>
                <w:sz w:val="18"/>
                <w:szCs w:val="18"/>
              </w:rPr>
            </w:pPr>
            <w:r>
              <w:rPr>
                <w:rFonts w:hint="eastAsia"/>
                <w:sz w:val="18"/>
                <w:szCs w:val="18"/>
              </w:rPr>
              <w:t>截面</w:t>
            </w:r>
          </w:p>
        </w:tc>
        <w:tc>
          <w:tcPr>
            <w:tcW w:w="2386" w:type="dxa"/>
            <w:gridSpan w:val="3"/>
            <w:vAlign w:val="center"/>
          </w:tcPr>
          <w:p>
            <w:pPr>
              <w:jc w:val="center"/>
              <w:rPr>
                <w:sz w:val="18"/>
                <w:szCs w:val="18"/>
              </w:rPr>
            </w:pPr>
            <w:r>
              <w:rPr>
                <w:rFonts w:hint="eastAsia"/>
                <w:sz w:val="18"/>
                <w:szCs w:val="18"/>
              </w:rPr>
              <w:t>规格（mm）</w:t>
            </w:r>
          </w:p>
        </w:tc>
        <w:tc>
          <w:tcPr>
            <w:tcW w:w="2268" w:type="dxa"/>
            <w:vMerge w:val="restart"/>
            <w:vAlign w:val="center"/>
          </w:tcPr>
          <w:p>
            <w:pPr>
              <w:jc w:val="center"/>
              <w:rPr>
                <w:sz w:val="18"/>
                <w:szCs w:val="18"/>
              </w:rPr>
            </w:pPr>
            <w:r>
              <w:rPr>
                <w:rFonts w:hint="eastAsia"/>
                <w:sz w:val="18"/>
                <w:szCs w:val="18"/>
              </w:rPr>
              <w:t>三维示意图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2" w:type="dxa"/>
            <w:vMerge w:val="continue"/>
            <w:vAlign w:val="center"/>
          </w:tcPr>
          <w:p>
            <w:pPr>
              <w:jc w:val="center"/>
              <w:rPr>
                <w:sz w:val="18"/>
                <w:szCs w:val="18"/>
              </w:rPr>
            </w:pPr>
          </w:p>
        </w:tc>
        <w:tc>
          <w:tcPr>
            <w:tcW w:w="794" w:type="dxa"/>
            <w:vAlign w:val="center"/>
          </w:tcPr>
          <w:p>
            <w:pPr>
              <w:jc w:val="center"/>
              <w:rPr>
                <w:sz w:val="18"/>
                <w:szCs w:val="18"/>
              </w:rPr>
            </w:pPr>
            <w:r>
              <w:rPr>
                <w:rFonts w:hint="eastAsia"/>
                <w:sz w:val="18"/>
                <w:szCs w:val="18"/>
              </w:rPr>
              <w:t>b</w:t>
            </w:r>
          </w:p>
        </w:tc>
        <w:tc>
          <w:tcPr>
            <w:tcW w:w="798" w:type="dxa"/>
            <w:vAlign w:val="center"/>
          </w:tcPr>
          <w:p>
            <w:pPr>
              <w:jc w:val="center"/>
              <w:rPr>
                <w:sz w:val="18"/>
                <w:szCs w:val="18"/>
              </w:rPr>
            </w:pPr>
            <w:r>
              <w:rPr>
                <w:rFonts w:hint="eastAsia"/>
                <w:sz w:val="18"/>
                <w:szCs w:val="18"/>
              </w:rPr>
              <w:t>h</w:t>
            </w:r>
          </w:p>
        </w:tc>
        <w:tc>
          <w:tcPr>
            <w:tcW w:w="794" w:type="dxa"/>
            <w:vAlign w:val="center"/>
          </w:tcPr>
          <w:p>
            <w:pPr>
              <w:jc w:val="center"/>
              <w:rPr>
                <w:sz w:val="18"/>
                <w:szCs w:val="18"/>
              </w:rPr>
            </w:pPr>
            <w:r>
              <w:rPr>
                <w:rFonts w:hint="eastAsia"/>
                <w:sz w:val="18"/>
                <w:szCs w:val="18"/>
              </w:rPr>
              <w:t>l</w:t>
            </w:r>
          </w:p>
        </w:tc>
        <w:tc>
          <w:tcPr>
            <w:tcW w:w="226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restart"/>
            <w:vAlign w:val="center"/>
          </w:tcPr>
          <w:p>
            <w:pPr>
              <w:jc w:val="center"/>
              <w:rPr>
                <w:sz w:val="18"/>
                <w:szCs w:val="18"/>
              </w:rPr>
            </w:pPr>
            <w:r>
              <w:rPr>
                <w:rFonts w:hint="eastAsia"/>
                <w:sz w:val="18"/>
                <w:szCs w:val="18"/>
              </w:rPr>
              <w:drawing>
                <wp:inline distT="0" distB="0" distL="114300" distR="114300">
                  <wp:extent cx="2016125" cy="703580"/>
                  <wp:effectExtent l="0" t="0" r="3175" b="1270"/>
                  <wp:docPr id="9" name="图片 9" descr="F:/2023/标准/征求意见稿0108/1.31/QQ截图20240201111604.jpgQQ截图202402011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023/标准/征求意见稿0108/1.31/QQ截图20240201111604.jpgQQ截图20240201111604"/>
                          <pic:cNvPicPr>
                            <a:picLocks noChangeAspect="1"/>
                          </pic:cNvPicPr>
                        </pic:nvPicPr>
                        <pic:blipFill>
                          <a:blip r:embed="rId39"/>
                          <a:srcRect l="491" r="2333"/>
                          <a:stretch>
                            <a:fillRect/>
                          </a:stretch>
                        </pic:blipFill>
                        <pic:spPr>
                          <a:xfrm>
                            <a:off x="0" y="0"/>
                            <a:ext cx="2016125" cy="703580"/>
                          </a:xfrm>
                          <a:prstGeom prst="rect">
                            <a:avLst/>
                          </a:prstGeom>
                        </pic:spPr>
                      </pic:pic>
                    </a:graphicData>
                  </a:graphic>
                </wp:inline>
              </w:drawing>
            </w:r>
          </w:p>
        </w:tc>
        <w:tc>
          <w:tcPr>
            <w:tcW w:w="794" w:type="dxa"/>
            <w:vMerge w:val="restart"/>
            <w:vAlign w:val="center"/>
          </w:tcPr>
          <w:p>
            <w:pPr>
              <w:jc w:val="center"/>
              <w:rPr>
                <w:sz w:val="18"/>
                <w:szCs w:val="18"/>
              </w:rPr>
            </w:pPr>
            <w:r>
              <w:rPr>
                <w:rFonts w:hint="eastAsia"/>
                <w:sz w:val="18"/>
                <w:szCs w:val="18"/>
              </w:rPr>
              <w:t>138</w:t>
            </w:r>
          </w:p>
        </w:tc>
        <w:tc>
          <w:tcPr>
            <w:tcW w:w="798" w:type="dxa"/>
            <w:vAlign w:val="center"/>
          </w:tcPr>
          <w:p>
            <w:pPr>
              <w:jc w:val="center"/>
              <w:rPr>
                <w:sz w:val="18"/>
                <w:szCs w:val="18"/>
              </w:rPr>
            </w:pPr>
            <w:r>
              <w:rPr>
                <w:rFonts w:hint="eastAsia"/>
                <w:sz w:val="18"/>
                <w:szCs w:val="18"/>
              </w:rPr>
              <w:t>70</w:t>
            </w:r>
          </w:p>
        </w:tc>
        <w:tc>
          <w:tcPr>
            <w:tcW w:w="794" w:type="dxa"/>
            <w:vMerge w:val="restart"/>
            <w:vAlign w:val="center"/>
          </w:tcPr>
          <w:p>
            <w:pPr>
              <w:jc w:val="center"/>
              <w:rPr>
                <w:sz w:val="18"/>
                <w:szCs w:val="18"/>
              </w:rPr>
            </w:pPr>
            <w:r>
              <w:rPr>
                <w:rFonts w:hint="eastAsia"/>
                <w:sz w:val="18"/>
                <w:szCs w:val="18"/>
              </w:rPr>
              <w:t>220</w:t>
            </w:r>
          </w:p>
        </w:tc>
        <w:tc>
          <w:tcPr>
            <w:tcW w:w="2268" w:type="dxa"/>
            <w:vMerge w:val="restart"/>
            <w:vAlign w:val="center"/>
          </w:tcPr>
          <w:p>
            <w:pPr>
              <w:jc w:val="center"/>
              <w:rPr>
                <w:sz w:val="18"/>
                <w:szCs w:val="18"/>
              </w:rPr>
            </w:pPr>
            <w:r>
              <w:rPr>
                <w:rFonts w:hint="eastAsia"/>
                <w:sz w:val="18"/>
                <w:szCs w:val="18"/>
              </w:rPr>
              <w:drawing>
                <wp:inline distT="0" distB="0" distL="114300" distR="114300">
                  <wp:extent cx="1080135" cy="843915"/>
                  <wp:effectExtent l="0" t="0" r="5715" b="13335"/>
                  <wp:docPr id="18" name="图片 18" descr="F:/2023/标准/图片/QQ浏览器截图20231225150447.pngQQ浏览器截图2023122515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2023/标准/图片/QQ浏览器截图20231225150447.pngQQ浏览器截图20231225150447"/>
                          <pic:cNvPicPr>
                            <a:picLocks noChangeAspect="1"/>
                          </pic:cNvPicPr>
                        </pic:nvPicPr>
                        <pic:blipFill>
                          <a:blip r:embed="rId40"/>
                          <a:srcRect l="9200" r="11437"/>
                          <a:stretch>
                            <a:fillRect/>
                          </a:stretch>
                        </pic:blipFill>
                        <pic:spPr>
                          <a:xfrm>
                            <a:off x="0" y="0"/>
                            <a:ext cx="1080135" cy="843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jc w:val="center"/>
              <w:rPr>
                <w:sz w:val="18"/>
                <w:szCs w:val="18"/>
              </w:rPr>
            </w:pPr>
          </w:p>
        </w:tc>
        <w:tc>
          <w:tcPr>
            <w:tcW w:w="794" w:type="dxa"/>
            <w:vMerge w:val="continue"/>
            <w:vAlign w:val="center"/>
          </w:tcPr>
          <w:p>
            <w:pPr>
              <w:jc w:val="center"/>
              <w:rPr>
                <w:sz w:val="18"/>
                <w:szCs w:val="18"/>
              </w:rPr>
            </w:pPr>
          </w:p>
        </w:tc>
        <w:tc>
          <w:tcPr>
            <w:tcW w:w="798" w:type="dxa"/>
            <w:vAlign w:val="center"/>
          </w:tcPr>
          <w:p>
            <w:pPr>
              <w:jc w:val="center"/>
              <w:rPr>
                <w:sz w:val="18"/>
                <w:szCs w:val="18"/>
              </w:rPr>
            </w:pPr>
            <w:r>
              <w:rPr>
                <w:rFonts w:hint="eastAsia"/>
                <w:sz w:val="18"/>
                <w:szCs w:val="18"/>
              </w:rPr>
              <w:t>50</w:t>
            </w:r>
          </w:p>
        </w:tc>
        <w:tc>
          <w:tcPr>
            <w:tcW w:w="794" w:type="dxa"/>
            <w:vMerge w:val="continue"/>
            <w:vAlign w:val="center"/>
          </w:tcPr>
          <w:p>
            <w:pPr>
              <w:jc w:val="center"/>
              <w:rPr>
                <w:sz w:val="18"/>
                <w:szCs w:val="18"/>
              </w:rPr>
            </w:pPr>
          </w:p>
        </w:tc>
        <w:tc>
          <w:tcPr>
            <w:tcW w:w="226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jc w:val="center"/>
              <w:rPr>
                <w:sz w:val="18"/>
                <w:szCs w:val="18"/>
              </w:rPr>
            </w:pPr>
          </w:p>
        </w:tc>
        <w:tc>
          <w:tcPr>
            <w:tcW w:w="794" w:type="dxa"/>
            <w:vMerge w:val="restart"/>
            <w:vAlign w:val="center"/>
          </w:tcPr>
          <w:p>
            <w:pPr>
              <w:jc w:val="center"/>
              <w:rPr>
                <w:sz w:val="18"/>
                <w:szCs w:val="18"/>
              </w:rPr>
            </w:pPr>
            <w:r>
              <w:rPr>
                <w:rFonts w:hint="eastAsia"/>
                <w:sz w:val="18"/>
                <w:szCs w:val="18"/>
              </w:rPr>
              <w:t>38</w:t>
            </w:r>
          </w:p>
        </w:tc>
        <w:tc>
          <w:tcPr>
            <w:tcW w:w="798" w:type="dxa"/>
            <w:vAlign w:val="center"/>
          </w:tcPr>
          <w:p>
            <w:pPr>
              <w:jc w:val="center"/>
              <w:rPr>
                <w:sz w:val="18"/>
                <w:szCs w:val="18"/>
              </w:rPr>
            </w:pPr>
            <w:r>
              <w:rPr>
                <w:rFonts w:hint="eastAsia"/>
                <w:sz w:val="18"/>
                <w:szCs w:val="18"/>
              </w:rPr>
              <w:t>70</w:t>
            </w:r>
          </w:p>
        </w:tc>
        <w:tc>
          <w:tcPr>
            <w:tcW w:w="794" w:type="dxa"/>
            <w:vMerge w:val="continue"/>
            <w:vAlign w:val="center"/>
          </w:tcPr>
          <w:p>
            <w:pPr>
              <w:jc w:val="center"/>
              <w:rPr>
                <w:sz w:val="18"/>
                <w:szCs w:val="18"/>
              </w:rPr>
            </w:pPr>
          </w:p>
        </w:tc>
        <w:tc>
          <w:tcPr>
            <w:tcW w:w="226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jc w:val="center"/>
              <w:rPr>
                <w:sz w:val="18"/>
                <w:szCs w:val="18"/>
              </w:rPr>
            </w:pPr>
          </w:p>
        </w:tc>
        <w:tc>
          <w:tcPr>
            <w:tcW w:w="794" w:type="dxa"/>
            <w:vMerge w:val="continue"/>
            <w:vAlign w:val="center"/>
          </w:tcPr>
          <w:p>
            <w:pPr>
              <w:jc w:val="center"/>
              <w:rPr>
                <w:sz w:val="18"/>
                <w:szCs w:val="18"/>
              </w:rPr>
            </w:pPr>
          </w:p>
        </w:tc>
        <w:tc>
          <w:tcPr>
            <w:tcW w:w="798" w:type="dxa"/>
            <w:vAlign w:val="center"/>
          </w:tcPr>
          <w:p>
            <w:pPr>
              <w:jc w:val="center"/>
              <w:rPr>
                <w:sz w:val="18"/>
                <w:szCs w:val="18"/>
              </w:rPr>
            </w:pPr>
            <w:r>
              <w:rPr>
                <w:rFonts w:hint="eastAsia"/>
                <w:sz w:val="18"/>
                <w:szCs w:val="18"/>
              </w:rPr>
              <w:t>50</w:t>
            </w:r>
          </w:p>
        </w:tc>
        <w:tc>
          <w:tcPr>
            <w:tcW w:w="794" w:type="dxa"/>
            <w:vMerge w:val="continue"/>
            <w:vAlign w:val="center"/>
          </w:tcPr>
          <w:p>
            <w:pPr>
              <w:jc w:val="center"/>
              <w:rPr>
                <w:sz w:val="18"/>
                <w:szCs w:val="18"/>
              </w:rPr>
            </w:pPr>
          </w:p>
        </w:tc>
        <w:tc>
          <w:tcPr>
            <w:tcW w:w="226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restart"/>
            <w:vAlign w:val="center"/>
          </w:tcPr>
          <w:p>
            <w:pPr>
              <w:jc w:val="center"/>
              <w:rPr>
                <w:sz w:val="18"/>
                <w:szCs w:val="18"/>
              </w:rPr>
            </w:pPr>
            <w:r>
              <w:rPr>
                <w:rFonts w:hint="eastAsia"/>
                <w:sz w:val="18"/>
                <w:szCs w:val="18"/>
              </w:rPr>
              <w:drawing>
                <wp:inline distT="0" distB="0" distL="114300" distR="114300">
                  <wp:extent cx="2016125" cy="768350"/>
                  <wp:effectExtent l="0" t="0" r="3175" b="12700"/>
                  <wp:docPr id="19" name="图片 19" descr="F:/2023/标准/征求意见稿0108/1.31/QQ截图20240201114204.jpgQQ截图2024020111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2023/标准/征求意见稿0108/1.31/QQ截图20240201114204.jpgQQ截图20240201114204"/>
                          <pic:cNvPicPr>
                            <a:picLocks noChangeAspect="1"/>
                          </pic:cNvPicPr>
                        </pic:nvPicPr>
                        <pic:blipFill>
                          <a:blip r:embed="rId41"/>
                          <a:srcRect l="183" r="3873"/>
                          <a:stretch>
                            <a:fillRect/>
                          </a:stretch>
                        </pic:blipFill>
                        <pic:spPr>
                          <a:xfrm>
                            <a:off x="0" y="0"/>
                            <a:ext cx="2016125" cy="768350"/>
                          </a:xfrm>
                          <a:prstGeom prst="rect">
                            <a:avLst/>
                          </a:prstGeom>
                        </pic:spPr>
                      </pic:pic>
                    </a:graphicData>
                  </a:graphic>
                </wp:inline>
              </w:drawing>
            </w:r>
          </w:p>
        </w:tc>
        <w:tc>
          <w:tcPr>
            <w:tcW w:w="794" w:type="dxa"/>
            <w:vMerge w:val="restart"/>
            <w:vAlign w:val="center"/>
          </w:tcPr>
          <w:p>
            <w:pPr>
              <w:jc w:val="center"/>
              <w:rPr>
                <w:sz w:val="18"/>
                <w:szCs w:val="18"/>
              </w:rPr>
            </w:pPr>
            <w:r>
              <w:rPr>
                <w:rFonts w:hint="eastAsia"/>
                <w:sz w:val="18"/>
                <w:szCs w:val="18"/>
              </w:rPr>
              <w:t>138</w:t>
            </w:r>
          </w:p>
        </w:tc>
        <w:tc>
          <w:tcPr>
            <w:tcW w:w="798" w:type="dxa"/>
            <w:vAlign w:val="center"/>
          </w:tcPr>
          <w:p>
            <w:pPr>
              <w:jc w:val="center"/>
              <w:rPr>
                <w:sz w:val="18"/>
                <w:szCs w:val="18"/>
              </w:rPr>
            </w:pPr>
            <w:r>
              <w:rPr>
                <w:rFonts w:hint="eastAsia"/>
                <w:sz w:val="18"/>
                <w:szCs w:val="18"/>
              </w:rPr>
              <w:t>70</w:t>
            </w:r>
          </w:p>
        </w:tc>
        <w:tc>
          <w:tcPr>
            <w:tcW w:w="794" w:type="dxa"/>
            <w:vMerge w:val="restart"/>
            <w:vAlign w:val="center"/>
          </w:tcPr>
          <w:p>
            <w:pPr>
              <w:jc w:val="center"/>
              <w:rPr>
                <w:sz w:val="18"/>
                <w:szCs w:val="18"/>
              </w:rPr>
            </w:pPr>
            <w:r>
              <w:rPr>
                <w:rFonts w:hint="eastAsia"/>
                <w:sz w:val="18"/>
                <w:szCs w:val="18"/>
              </w:rPr>
              <w:t>60</w:t>
            </w:r>
          </w:p>
        </w:tc>
        <w:tc>
          <w:tcPr>
            <w:tcW w:w="2268" w:type="dxa"/>
            <w:vMerge w:val="restart"/>
            <w:vAlign w:val="center"/>
          </w:tcPr>
          <w:p>
            <w:pPr>
              <w:jc w:val="center"/>
              <w:rPr>
                <w:sz w:val="18"/>
                <w:szCs w:val="18"/>
              </w:rPr>
            </w:pPr>
            <w:r>
              <w:rPr>
                <w:rFonts w:hint="eastAsia"/>
                <w:sz w:val="18"/>
                <w:szCs w:val="18"/>
              </w:rPr>
              <w:drawing>
                <wp:inline distT="0" distB="0" distL="114300" distR="114300">
                  <wp:extent cx="1080135" cy="908685"/>
                  <wp:effectExtent l="0" t="0" r="5715" b="5715"/>
                  <wp:docPr id="20" name="图片 20" descr="F:/2023/标准/图片/QQ浏览器截图20231225150457.pngQQ浏览器截图2023122515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2023/标准/图片/QQ浏览器截图20231225150457.pngQQ浏览器截图20231225150457"/>
                          <pic:cNvPicPr>
                            <a:picLocks noChangeAspect="1"/>
                          </pic:cNvPicPr>
                        </pic:nvPicPr>
                        <pic:blipFill>
                          <a:blip r:embed="rId42"/>
                          <a:srcRect l="20490" t="11226" r="23505" b="12098"/>
                          <a:stretch>
                            <a:fillRect/>
                          </a:stretch>
                        </pic:blipFill>
                        <pic:spPr>
                          <a:xfrm>
                            <a:off x="0" y="0"/>
                            <a:ext cx="1080135" cy="908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jc w:val="center"/>
            </w:pPr>
          </w:p>
        </w:tc>
        <w:tc>
          <w:tcPr>
            <w:tcW w:w="794" w:type="dxa"/>
            <w:vMerge w:val="continue"/>
            <w:vAlign w:val="center"/>
          </w:tcPr>
          <w:p>
            <w:pPr>
              <w:jc w:val="center"/>
            </w:pPr>
          </w:p>
        </w:tc>
        <w:tc>
          <w:tcPr>
            <w:tcW w:w="798" w:type="dxa"/>
            <w:vAlign w:val="center"/>
          </w:tcPr>
          <w:p>
            <w:pPr>
              <w:jc w:val="center"/>
              <w:rPr>
                <w:sz w:val="18"/>
                <w:szCs w:val="18"/>
              </w:rPr>
            </w:pPr>
            <w:r>
              <w:rPr>
                <w:rFonts w:hint="eastAsia"/>
                <w:sz w:val="18"/>
                <w:szCs w:val="18"/>
              </w:rPr>
              <w:t>50</w:t>
            </w:r>
          </w:p>
        </w:tc>
        <w:tc>
          <w:tcPr>
            <w:tcW w:w="794" w:type="dxa"/>
            <w:vMerge w:val="continue"/>
            <w:vAlign w:val="center"/>
          </w:tcPr>
          <w:p>
            <w:pPr>
              <w:jc w:val="center"/>
              <w:rPr>
                <w:sz w:val="18"/>
                <w:szCs w:val="18"/>
              </w:rPr>
            </w:pPr>
          </w:p>
        </w:tc>
        <w:tc>
          <w:tcPr>
            <w:tcW w:w="226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jc w:val="center"/>
              <w:rPr>
                <w:sz w:val="18"/>
                <w:szCs w:val="18"/>
              </w:rPr>
            </w:pPr>
          </w:p>
        </w:tc>
        <w:tc>
          <w:tcPr>
            <w:tcW w:w="794" w:type="dxa"/>
            <w:vMerge w:val="restart"/>
            <w:vAlign w:val="center"/>
          </w:tcPr>
          <w:p>
            <w:pPr>
              <w:jc w:val="center"/>
              <w:rPr>
                <w:sz w:val="18"/>
                <w:szCs w:val="18"/>
              </w:rPr>
            </w:pPr>
            <w:r>
              <w:rPr>
                <w:rFonts w:hint="eastAsia"/>
                <w:sz w:val="18"/>
                <w:szCs w:val="18"/>
              </w:rPr>
              <w:t>38</w:t>
            </w:r>
          </w:p>
        </w:tc>
        <w:tc>
          <w:tcPr>
            <w:tcW w:w="798" w:type="dxa"/>
            <w:vAlign w:val="center"/>
          </w:tcPr>
          <w:p>
            <w:pPr>
              <w:jc w:val="center"/>
              <w:rPr>
                <w:sz w:val="18"/>
                <w:szCs w:val="18"/>
              </w:rPr>
            </w:pPr>
            <w:r>
              <w:rPr>
                <w:rFonts w:hint="eastAsia"/>
                <w:sz w:val="18"/>
                <w:szCs w:val="18"/>
              </w:rPr>
              <w:t>70</w:t>
            </w:r>
          </w:p>
        </w:tc>
        <w:tc>
          <w:tcPr>
            <w:tcW w:w="794" w:type="dxa"/>
            <w:vMerge w:val="continue"/>
            <w:vAlign w:val="center"/>
          </w:tcPr>
          <w:p>
            <w:pPr>
              <w:jc w:val="center"/>
              <w:rPr>
                <w:sz w:val="18"/>
                <w:szCs w:val="18"/>
              </w:rPr>
            </w:pPr>
          </w:p>
        </w:tc>
        <w:tc>
          <w:tcPr>
            <w:tcW w:w="226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2" w:type="dxa"/>
            <w:vMerge w:val="continue"/>
            <w:vAlign w:val="center"/>
          </w:tcPr>
          <w:p>
            <w:pPr>
              <w:jc w:val="center"/>
            </w:pPr>
          </w:p>
        </w:tc>
        <w:tc>
          <w:tcPr>
            <w:tcW w:w="794" w:type="dxa"/>
            <w:vMerge w:val="continue"/>
            <w:vAlign w:val="center"/>
          </w:tcPr>
          <w:p>
            <w:pPr>
              <w:jc w:val="center"/>
            </w:pPr>
          </w:p>
        </w:tc>
        <w:tc>
          <w:tcPr>
            <w:tcW w:w="798" w:type="dxa"/>
            <w:vAlign w:val="center"/>
          </w:tcPr>
          <w:p>
            <w:pPr>
              <w:jc w:val="center"/>
              <w:rPr>
                <w:sz w:val="18"/>
                <w:szCs w:val="18"/>
              </w:rPr>
            </w:pPr>
            <w:r>
              <w:rPr>
                <w:rFonts w:hint="eastAsia"/>
                <w:sz w:val="18"/>
                <w:szCs w:val="18"/>
              </w:rPr>
              <w:t>50</w:t>
            </w:r>
          </w:p>
        </w:tc>
        <w:tc>
          <w:tcPr>
            <w:tcW w:w="794" w:type="dxa"/>
            <w:vMerge w:val="continue"/>
            <w:vAlign w:val="center"/>
          </w:tcPr>
          <w:p>
            <w:pPr>
              <w:jc w:val="center"/>
              <w:rPr>
                <w:sz w:val="18"/>
                <w:szCs w:val="18"/>
              </w:rPr>
            </w:pPr>
          </w:p>
        </w:tc>
        <w:tc>
          <w:tcPr>
            <w:tcW w:w="226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402" w:type="dxa"/>
            <w:vMerge w:val="restart"/>
            <w:vAlign w:val="center"/>
          </w:tcPr>
          <w:p>
            <w:pPr>
              <w:jc w:val="center"/>
            </w:pPr>
            <w:r>
              <w:rPr>
                <w:rFonts w:hint="eastAsia"/>
                <w:sz w:val="18"/>
                <w:szCs w:val="18"/>
              </w:rPr>
              <w:drawing>
                <wp:inline distT="0" distB="0" distL="114300" distR="114300">
                  <wp:extent cx="2016125" cy="711835"/>
                  <wp:effectExtent l="0" t="0" r="3175" b="12065"/>
                  <wp:docPr id="623769475" name="图片 623769475" descr="F:/2023/标准/征求意见稿0108/1.31/QQ截图20240201114242.jpgQQ截图2024020111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9475" name="图片 623769475" descr="F:/2023/标准/征求意见稿0108/1.31/QQ截图20240201114242.jpgQQ截图20240201114242"/>
                          <pic:cNvPicPr>
                            <a:picLocks noChangeAspect="1"/>
                          </pic:cNvPicPr>
                        </pic:nvPicPr>
                        <pic:blipFill>
                          <a:blip r:embed="rId43"/>
                          <a:srcRect t="4945" b="4945"/>
                          <a:stretch>
                            <a:fillRect/>
                          </a:stretch>
                        </pic:blipFill>
                        <pic:spPr>
                          <a:xfrm>
                            <a:off x="0" y="0"/>
                            <a:ext cx="2016125" cy="711835"/>
                          </a:xfrm>
                          <a:prstGeom prst="rect">
                            <a:avLst/>
                          </a:prstGeom>
                        </pic:spPr>
                      </pic:pic>
                    </a:graphicData>
                  </a:graphic>
                </wp:inline>
              </w:drawing>
            </w:r>
          </w:p>
        </w:tc>
        <w:tc>
          <w:tcPr>
            <w:tcW w:w="794" w:type="dxa"/>
            <w:vMerge w:val="restart"/>
            <w:vAlign w:val="center"/>
          </w:tcPr>
          <w:p>
            <w:pPr>
              <w:jc w:val="center"/>
            </w:pPr>
            <w:r>
              <w:rPr>
                <w:rFonts w:hint="eastAsia"/>
                <w:sz w:val="18"/>
                <w:szCs w:val="18"/>
              </w:rPr>
              <w:t>138</w:t>
            </w:r>
          </w:p>
        </w:tc>
        <w:tc>
          <w:tcPr>
            <w:tcW w:w="798" w:type="dxa"/>
            <w:vAlign w:val="center"/>
          </w:tcPr>
          <w:p>
            <w:pPr>
              <w:jc w:val="center"/>
              <w:rPr>
                <w:sz w:val="18"/>
                <w:szCs w:val="18"/>
              </w:rPr>
            </w:pPr>
            <w:r>
              <w:rPr>
                <w:rFonts w:hint="eastAsia"/>
                <w:sz w:val="18"/>
                <w:szCs w:val="18"/>
              </w:rPr>
              <w:t>75</w:t>
            </w:r>
          </w:p>
        </w:tc>
        <w:tc>
          <w:tcPr>
            <w:tcW w:w="794" w:type="dxa"/>
            <w:vMerge w:val="restart"/>
            <w:vAlign w:val="center"/>
          </w:tcPr>
          <w:p>
            <w:pPr>
              <w:jc w:val="center"/>
              <w:rPr>
                <w:sz w:val="18"/>
                <w:szCs w:val="18"/>
              </w:rPr>
            </w:pPr>
            <w:r>
              <w:rPr>
                <w:rFonts w:hint="eastAsia"/>
                <w:sz w:val="18"/>
                <w:szCs w:val="18"/>
              </w:rPr>
              <w:t>220</w:t>
            </w:r>
          </w:p>
        </w:tc>
        <w:tc>
          <w:tcPr>
            <w:tcW w:w="2268" w:type="dxa"/>
            <w:vMerge w:val="restart"/>
            <w:vAlign w:val="center"/>
          </w:tcPr>
          <w:p>
            <w:pPr>
              <w:jc w:val="center"/>
              <w:rPr>
                <w:sz w:val="18"/>
                <w:szCs w:val="18"/>
              </w:rPr>
            </w:pPr>
            <w:r>
              <w:rPr>
                <w:rFonts w:hint="eastAsia"/>
                <w:sz w:val="18"/>
                <w:szCs w:val="18"/>
              </w:rPr>
              <w:drawing>
                <wp:inline distT="0" distB="0" distL="114300" distR="114300">
                  <wp:extent cx="1080135" cy="790575"/>
                  <wp:effectExtent l="0" t="0" r="5715" b="9525"/>
                  <wp:docPr id="34" name="图片 34" descr="F:/2023/标准/征求意见稿0108/1.31/QQ截图20240201091744.jpgQQ截图2024020109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2023/标准/征求意见稿0108/1.31/QQ截图20240201091744.jpgQQ截图20240201091744"/>
                          <pic:cNvPicPr>
                            <a:picLocks noChangeAspect="1"/>
                          </pic:cNvPicPr>
                        </pic:nvPicPr>
                        <pic:blipFill>
                          <a:blip r:embed="rId44"/>
                          <a:srcRect l="-764" r="5943"/>
                          <a:stretch>
                            <a:fillRect/>
                          </a:stretch>
                        </pic:blipFill>
                        <pic:spPr>
                          <a:xfrm>
                            <a:off x="0" y="0"/>
                            <a:ext cx="1080135" cy="7905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402" w:type="dxa"/>
            <w:vMerge w:val="continue"/>
            <w:vAlign w:val="center"/>
          </w:tcPr>
          <w:p>
            <w:pPr>
              <w:jc w:val="center"/>
            </w:pPr>
          </w:p>
        </w:tc>
        <w:tc>
          <w:tcPr>
            <w:tcW w:w="794" w:type="dxa"/>
            <w:vMerge w:val="continue"/>
            <w:vAlign w:val="center"/>
          </w:tcPr>
          <w:p>
            <w:pPr>
              <w:jc w:val="center"/>
            </w:pPr>
          </w:p>
        </w:tc>
        <w:tc>
          <w:tcPr>
            <w:tcW w:w="798" w:type="dxa"/>
            <w:vAlign w:val="center"/>
          </w:tcPr>
          <w:p>
            <w:pPr>
              <w:jc w:val="center"/>
              <w:rPr>
                <w:sz w:val="18"/>
                <w:szCs w:val="18"/>
              </w:rPr>
            </w:pPr>
            <w:r>
              <w:rPr>
                <w:rFonts w:hint="eastAsia"/>
                <w:sz w:val="18"/>
                <w:szCs w:val="18"/>
              </w:rPr>
              <w:t>55</w:t>
            </w:r>
          </w:p>
        </w:tc>
        <w:tc>
          <w:tcPr>
            <w:tcW w:w="794" w:type="dxa"/>
            <w:vMerge w:val="continue"/>
            <w:vAlign w:val="center"/>
          </w:tcPr>
          <w:p>
            <w:pPr>
              <w:jc w:val="center"/>
              <w:rPr>
                <w:sz w:val="18"/>
                <w:szCs w:val="18"/>
              </w:rPr>
            </w:pPr>
          </w:p>
        </w:tc>
        <w:tc>
          <w:tcPr>
            <w:tcW w:w="226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402" w:type="dxa"/>
            <w:vMerge w:val="restart"/>
            <w:vAlign w:val="center"/>
          </w:tcPr>
          <w:p>
            <w:pPr>
              <w:jc w:val="center"/>
            </w:pPr>
            <w:r>
              <w:rPr>
                <w:rFonts w:hint="eastAsia"/>
                <w:sz w:val="18"/>
                <w:szCs w:val="18"/>
              </w:rPr>
              <w:drawing>
                <wp:inline distT="0" distB="0" distL="114300" distR="114300">
                  <wp:extent cx="2016125" cy="815975"/>
                  <wp:effectExtent l="0" t="0" r="3175" b="3175"/>
                  <wp:docPr id="623769476" name="图片 623769476" descr="F:/2023/标准/征求意见稿0108/1.31/QQ截图20240201114313.jpgQQ截图2024020111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9476" name="图片 623769476" descr="F:/2023/标准/征求意见稿0108/1.31/QQ截图20240201114313.jpgQQ截图20240201114313"/>
                          <pic:cNvPicPr>
                            <a:picLocks noChangeAspect="1"/>
                          </pic:cNvPicPr>
                        </pic:nvPicPr>
                        <pic:blipFill>
                          <a:blip r:embed="rId45"/>
                          <a:srcRect t="4709" b="4709"/>
                          <a:stretch>
                            <a:fillRect/>
                          </a:stretch>
                        </pic:blipFill>
                        <pic:spPr>
                          <a:xfrm>
                            <a:off x="0" y="0"/>
                            <a:ext cx="2016125" cy="815975"/>
                          </a:xfrm>
                          <a:prstGeom prst="rect">
                            <a:avLst/>
                          </a:prstGeom>
                        </pic:spPr>
                      </pic:pic>
                    </a:graphicData>
                  </a:graphic>
                </wp:inline>
              </w:drawing>
            </w:r>
          </w:p>
        </w:tc>
        <w:tc>
          <w:tcPr>
            <w:tcW w:w="794" w:type="dxa"/>
            <w:vMerge w:val="restart"/>
            <w:vAlign w:val="center"/>
          </w:tcPr>
          <w:p>
            <w:pPr>
              <w:jc w:val="center"/>
            </w:pPr>
            <w:r>
              <w:rPr>
                <w:rFonts w:hint="eastAsia"/>
                <w:sz w:val="18"/>
                <w:szCs w:val="18"/>
              </w:rPr>
              <w:t>138</w:t>
            </w:r>
          </w:p>
        </w:tc>
        <w:tc>
          <w:tcPr>
            <w:tcW w:w="798" w:type="dxa"/>
            <w:vAlign w:val="center"/>
          </w:tcPr>
          <w:p>
            <w:pPr>
              <w:jc w:val="center"/>
              <w:rPr>
                <w:sz w:val="18"/>
                <w:szCs w:val="18"/>
              </w:rPr>
            </w:pPr>
            <w:r>
              <w:rPr>
                <w:rFonts w:hint="eastAsia"/>
                <w:sz w:val="18"/>
                <w:szCs w:val="18"/>
              </w:rPr>
              <w:t>75</w:t>
            </w:r>
          </w:p>
        </w:tc>
        <w:tc>
          <w:tcPr>
            <w:tcW w:w="794" w:type="dxa"/>
            <w:vMerge w:val="restart"/>
            <w:vAlign w:val="center"/>
          </w:tcPr>
          <w:p>
            <w:pPr>
              <w:jc w:val="center"/>
              <w:rPr>
                <w:sz w:val="18"/>
                <w:szCs w:val="18"/>
              </w:rPr>
            </w:pPr>
            <w:r>
              <w:rPr>
                <w:rFonts w:hint="eastAsia"/>
                <w:sz w:val="18"/>
                <w:szCs w:val="18"/>
              </w:rPr>
              <w:t>60</w:t>
            </w:r>
          </w:p>
        </w:tc>
        <w:tc>
          <w:tcPr>
            <w:tcW w:w="2268" w:type="dxa"/>
            <w:vMerge w:val="restart"/>
            <w:vAlign w:val="center"/>
          </w:tcPr>
          <w:p>
            <w:pPr>
              <w:jc w:val="center"/>
              <w:rPr>
                <w:sz w:val="18"/>
                <w:szCs w:val="18"/>
              </w:rPr>
            </w:pPr>
            <w:r>
              <w:rPr>
                <w:rFonts w:hint="eastAsia"/>
                <w:sz w:val="18"/>
                <w:szCs w:val="18"/>
              </w:rPr>
              <w:drawing>
                <wp:inline distT="0" distB="0" distL="114300" distR="114300">
                  <wp:extent cx="1080135" cy="843915"/>
                  <wp:effectExtent l="0" t="0" r="5715" b="13335"/>
                  <wp:docPr id="623769477" name="图片 623769477" descr="F:/2023/标准/征求意见稿0108/1.31/QQ截图20240201091756.jpgQQ截图202402010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9477" name="图片 623769477" descr="F:/2023/标准/征求意见稿0108/1.31/QQ截图20240201091756.jpgQQ截图20240201091756"/>
                          <pic:cNvPicPr>
                            <a:picLocks noChangeAspect="1"/>
                          </pic:cNvPicPr>
                        </pic:nvPicPr>
                        <pic:blipFill>
                          <a:blip r:embed="rId46"/>
                          <a:srcRect l="936" r="936"/>
                          <a:stretch>
                            <a:fillRect/>
                          </a:stretch>
                        </pic:blipFill>
                        <pic:spPr>
                          <a:xfrm>
                            <a:off x="0" y="0"/>
                            <a:ext cx="1080135" cy="843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402" w:type="dxa"/>
            <w:vMerge w:val="continue"/>
            <w:vAlign w:val="center"/>
          </w:tcPr>
          <w:p>
            <w:pPr>
              <w:jc w:val="center"/>
            </w:pPr>
          </w:p>
        </w:tc>
        <w:tc>
          <w:tcPr>
            <w:tcW w:w="794" w:type="dxa"/>
            <w:vMerge w:val="continue"/>
            <w:vAlign w:val="center"/>
          </w:tcPr>
          <w:p>
            <w:pPr>
              <w:jc w:val="center"/>
            </w:pPr>
          </w:p>
        </w:tc>
        <w:tc>
          <w:tcPr>
            <w:tcW w:w="798" w:type="dxa"/>
            <w:vAlign w:val="center"/>
          </w:tcPr>
          <w:p>
            <w:pPr>
              <w:jc w:val="center"/>
              <w:rPr>
                <w:sz w:val="18"/>
                <w:szCs w:val="18"/>
              </w:rPr>
            </w:pPr>
            <w:r>
              <w:rPr>
                <w:rFonts w:hint="eastAsia"/>
                <w:sz w:val="18"/>
                <w:szCs w:val="18"/>
              </w:rPr>
              <w:t>55</w:t>
            </w:r>
          </w:p>
        </w:tc>
        <w:tc>
          <w:tcPr>
            <w:tcW w:w="794" w:type="dxa"/>
            <w:vMerge w:val="continue"/>
            <w:vAlign w:val="center"/>
          </w:tcPr>
          <w:p>
            <w:pPr>
              <w:jc w:val="center"/>
              <w:rPr>
                <w:sz w:val="18"/>
                <w:szCs w:val="18"/>
              </w:rPr>
            </w:pPr>
          </w:p>
        </w:tc>
        <w:tc>
          <w:tcPr>
            <w:tcW w:w="226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3402" w:type="dxa"/>
            <w:vMerge w:val="restart"/>
            <w:vAlign w:val="center"/>
          </w:tcPr>
          <w:p>
            <w:pPr>
              <w:jc w:val="center"/>
              <w:rPr>
                <w:sz w:val="18"/>
                <w:szCs w:val="18"/>
              </w:rPr>
            </w:pPr>
            <w:r>
              <w:rPr>
                <w:rFonts w:hint="eastAsia"/>
                <w:sz w:val="18"/>
                <w:szCs w:val="18"/>
              </w:rPr>
              <w:drawing>
                <wp:inline distT="0" distB="0" distL="114300" distR="114300">
                  <wp:extent cx="2016125" cy="758190"/>
                  <wp:effectExtent l="0" t="0" r="3175" b="3810"/>
                  <wp:docPr id="21" name="图片 21" descr="F:/2023/标准/征求意见稿0108/1.31/QQ截图20240201120124.jpgQQ截图2024020112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2023/标准/征求意见稿0108/1.31/QQ截图20240201120124.jpgQQ截图20240201120124"/>
                          <pic:cNvPicPr>
                            <a:picLocks noChangeAspect="1"/>
                          </pic:cNvPicPr>
                        </pic:nvPicPr>
                        <pic:blipFill>
                          <a:blip r:embed="rId47"/>
                          <a:srcRect l="-89" r="1321"/>
                          <a:stretch>
                            <a:fillRect/>
                          </a:stretch>
                        </pic:blipFill>
                        <pic:spPr>
                          <a:xfrm>
                            <a:off x="0" y="0"/>
                            <a:ext cx="2016125" cy="758190"/>
                          </a:xfrm>
                          <a:prstGeom prst="rect">
                            <a:avLst/>
                          </a:prstGeom>
                        </pic:spPr>
                      </pic:pic>
                    </a:graphicData>
                  </a:graphic>
                </wp:inline>
              </w:drawing>
            </w:r>
          </w:p>
        </w:tc>
        <w:tc>
          <w:tcPr>
            <w:tcW w:w="794" w:type="dxa"/>
            <w:vAlign w:val="center"/>
          </w:tcPr>
          <w:p>
            <w:pPr>
              <w:jc w:val="center"/>
              <w:rPr>
                <w:sz w:val="18"/>
                <w:szCs w:val="18"/>
              </w:rPr>
            </w:pPr>
            <w:r>
              <w:rPr>
                <w:rFonts w:hint="eastAsia"/>
                <w:sz w:val="18"/>
                <w:szCs w:val="18"/>
              </w:rPr>
              <w:t>138</w:t>
            </w:r>
          </w:p>
        </w:tc>
        <w:tc>
          <w:tcPr>
            <w:tcW w:w="798" w:type="dxa"/>
            <w:vMerge w:val="restart"/>
            <w:vAlign w:val="center"/>
          </w:tcPr>
          <w:p>
            <w:pPr>
              <w:jc w:val="center"/>
              <w:rPr>
                <w:sz w:val="18"/>
                <w:szCs w:val="18"/>
              </w:rPr>
            </w:pPr>
            <w:r>
              <w:rPr>
                <w:rFonts w:hint="eastAsia"/>
                <w:sz w:val="18"/>
                <w:szCs w:val="18"/>
              </w:rPr>
              <w:t>45</w:t>
            </w:r>
          </w:p>
        </w:tc>
        <w:tc>
          <w:tcPr>
            <w:tcW w:w="794" w:type="dxa"/>
            <w:vMerge w:val="restart"/>
            <w:vAlign w:val="center"/>
          </w:tcPr>
          <w:p>
            <w:pPr>
              <w:jc w:val="center"/>
              <w:rPr>
                <w:sz w:val="18"/>
                <w:szCs w:val="18"/>
              </w:rPr>
            </w:pPr>
            <w:r>
              <w:rPr>
                <w:rFonts w:hint="eastAsia"/>
                <w:sz w:val="18"/>
                <w:szCs w:val="18"/>
              </w:rPr>
              <w:t>30</w:t>
            </w:r>
          </w:p>
        </w:tc>
        <w:tc>
          <w:tcPr>
            <w:tcW w:w="2268" w:type="dxa"/>
            <w:vMerge w:val="restart"/>
            <w:vAlign w:val="center"/>
          </w:tcPr>
          <w:p>
            <w:pPr>
              <w:jc w:val="center"/>
              <w:rPr>
                <w:sz w:val="18"/>
                <w:szCs w:val="18"/>
              </w:rPr>
            </w:pPr>
            <w:r>
              <w:rPr>
                <w:rFonts w:hint="eastAsia"/>
                <w:sz w:val="18"/>
                <w:szCs w:val="18"/>
              </w:rPr>
              <w:drawing>
                <wp:inline distT="0" distB="0" distL="114300" distR="114300">
                  <wp:extent cx="1080135" cy="929005"/>
                  <wp:effectExtent l="0" t="0" r="5715" b="4445"/>
                  <wp:docPr id="22" name="图片 22" descr="F:\2022\隔墙\装配式复合轻质墙体\图片2\QQ截图20221205092844.jpgQQ截图2022120509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2022\隔墙\装配式复合轻质墙体\图片2\QQ截图20221205092844.jpgQQ截图20221205092844"/>
                          <pic:cNvPicPr>
                            <a:picLocks noChangeAspect="1"/>
                          </pic:cNvPicPr>
                        </pic:nvPicPr>
                        <pic:blipFill>
                          <a:blip r:embed="rId48"/>
                          <a:srcRect l="9011" t="7480" r="12930" b="5241"/>
                          <a:stretch>
                            <a:fillRect/>
                          </a:stretch>
                        </pic:blipFill>
                        <pic:spPr>
                          <a:xfrm>
                            <a:off x="0" y="0"/>
                            <a:ext cx="1080135" cy="9290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3402" w:type="dxa"/>
            <w:vMerge w:val="continue"/>
            <w:vAlign w:val="center"/>
          </w:tcPr>
          <w:p>
            <w:pPr>
              <w:jc w:val="center"/>
            </w:pPr>
          </w:p>
        </w:tc>
        <w:tc>
          <w:tcPr>
            <w:tcW w:w="794" w:type="dxa"/>
            <w:vAlign w:val="center"/>
          </w:tcPr>
          <w:p>
            <w:pPr>
              <w:jc w:val="center"/>
            </w:pPr>
            <w:r>
              <w:rPr>
                <w:rFonts w:hint="eastAsia"/>
                <w:sz w:val="18"/>
                <w:szCs w:val="18"/>
              </w:rPr>
              <w:t>38</w:t>
            </w:r>
          </w:p>
        </w:tc>
        <w:tc>
          <w:tcPr>
            <w:tcW w:w="798" w:type="dxa"/>
            <w:vMerge w:val="continue"/>
            <w:vAlign w:val="center"/>
          </w:tcPr>
          <w:p>
            <w:pPr>
              <w:jc w:val="center"/>
            </w:pPr>
          </w:p>
        </w:tc>
        <w:tc>
          <w:tcPr>
            <w:tcW w:w="794" w:type="dxa"/>
            <w:vMerge w:val="continue"/>
            <w:vAlign w:val="center"/>
          </w:tcPr>
          <w:p>
            <w:pPr>
              <w:jc w:val="center"/>
            </w:pPr>
          </w:p>
        </w:tc>
        <w:tc>
          <w:tcPr>
            <w:tcW w:w="2268" w:type="dxa"/>
            <w:vMerge w:val="continue"/>
            <w:vAlign w:val="center"/>
          </w:tcPr>
          <w:p>
            <w:pPr>
              <w:jc w:val="center"/>
            </w:pPr>
          </w:p>
        </w:tc>
      </w:tr>
    </w:tbl>
    <w:p>
      <w:pPr>
        <w:pStyle w:val="2"/>
        <w:rPr>
          <w:rFonts w:ascii="宋体" w:hAnsi="宋体" w:cs="宋体"/>
          <w:b/>
          <w:bCs/>
          <w:sz w:val="20"/>
        </w:rPr>
      </w:pPr>
    </w:p>
    <w:p>
      <w:pPr>
        <w:jc w:val="center"/>
        <w:rPr>
          <w:b/>
          <w:bCs/>
          <w:sz w:val="21"/>
          <w:szCs w:val="21"/>
        </w:rPr>
      </w:pPr>
      <w:r>
        <w:rPr>
          <w:rFonts w:hint="eastAsia"/>
          <w:b/>
          <w:bCs/>
          <w:sz w:val="21"/>
          <w:szCs w:val="21"/>
        </w:rPr>
        <w:t>表A.0.3 工具式模板主要规格参数</w:t>
      </w:r>
    </w:p>
    <w:tbl>
      <w:tblPr>
        <w:tblStyle w:val="17"/>
        <w:tblW w:w="7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7"/>
        <w:gridCol w:w="786"/>
        <w:gridCol w:w="783"/>
        <w:gridCol w:w="784"/>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7" w:type="dxa"/>
            <w:vMerge w:val="restart"/>
            <w:vAlign w:val="center"/>
          </w:tcPr>
          <w:p>
            <w:pPr>
              <w:jc w:val="center"/>
              <w:rPr>
                <w:sz w:val="18"/>
                <w:szCs w:val="18"/>
              </w:rPr>
            </w:pPr>
            <w:r>
              <w:rPr>
                <w:rFonts w:hint="eastAsia"/>
                <w:sz w:val="18"/>
                <w:szCs w:val="18"/>
              </w:rPr>
              <w:t>截面</w:t>
            </w:r>
          </w:p>
        </w:tc>
        <w:tc>
          <w:tcPr>
            <w:tcW w:w="2353" w:type="dxa"/>
            <w:gridSpan w:val="3"/>
            <w:vAlign w:val="center"/>
          </w:tcPr>
          <w:p>
            <w:pPr>
              <w:jc w:val="center"/>
              <w:rPr>
                <w:sz w:val="18"/>
                <w:szCs w:val="18"/>
              </w:rPr>
            </w:pPr>
            <w:r>
              <w:rPr>
                <w:rFonts w:hint="eastAsia"/>
                <w:sz w:val="18"/>
                <w:szCs w:val="18"/>
              </w:rPr>
              <w:t>规格（mm）</w:t>
            </w:r>
          </w:p>
        </w:tc>
        <w:tc>
          <w:tcPr>
            <w:tcW w:w="3156" w:type="dxa"/>
            <w:vMerge w:val="restart"/>
            <w:vAlign w:val="center"/>
          </w:tcPr>
          <w:p>
            <w:pPr>
              <w:jc w:val="center"/>
              <w:rPr>
                <w:sz w:val="18"/>
                <w:szCs w:val="18"/>
              </w:rPr>
            </w:pPr>
            <w:r>
              <w:rPr>
                <w:rFonts w:hint="eastAsia"/>
                <w:sz w:val="18"/>
                <w:szCs w:val="18"/>
              </w:rPr>
              <w:t>三维示意图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137" w:type="dxa"/>
            <w:vMerge w:val="continue"/>
            <w:vAlign w:val="center"/>
          </w:tcPr>
          <w:p>
            <w:pPr>
              <w:jc w:val="center"/>
              <w:rPr>
                <w:sz w:val="18"/>
                <w:szCs w:val="18"/>
              </w:rPr>
            </w:pPr>
          </w:p>
        </w:tc>
        <w:tc>
          <w:tcPr>
            <w:tcW w:w="786" w:type="dxa"/>
            <w:vAlign w:val="center"/>
          </w:tcPr>
          <w:p>
            <w:pPr>
              <w:jc w:val="center"/>
              <w:rPr>
                <w:sz w:val="18"/>
                <w:szCs w:val="18"/>
              </w:rPr>
            </w:pPr>
            <w:r>
              <w:rPr>
                <w:rFonts w:hint="eastAsia"/>
                <w:sz w:val="18"/>
                <w:szCs w:val="18"/>
              </w:rPr>
              <w:t>b</w:t>
            </w:r>
          </w:p>
        </w:tc>
        <w:tc>
          <w:tcPr>
            <w:tcW w:w="783" w:type="dxa"/>
            <w:vAlign w:val="center"/>
          </w:tcPr>
          <w:p>
            <w:pPr>
              <w:jc w:val="center"/>
              <w:rPr>
                <w:sz w:val="18"/>
                <w:szCs w:val="18"/>
              </w:rPr>
            </w:pPr>
            <w:r>
              <w:rPr>
                <w:rFonts w:hint="eastAsia"/>
                <w:sz w:val="18"/>
                <w:szCs w:val="18"/>
              </w:rPr>
              <w:t>h</w:t>
            </w:r>
          </w:p>
        </w:tc>
        <w:tc>
          <w:tcPr>
            <w:tcW w:w="784" w:type="dxa"/>
            <w:vAlign w:val="center"/>
          </w:tcPr>
          <w:p>
            <w:pPr>
              <w:jc w:val="center"/>
              <w:rPr>
                <w:sz w:val="18"/>
                <w:szCs w:val="18"/>
              </w:rPr>
            </w:pPr>
            <w:r>
              <w:rPr>
                <w:rFonts w:hint="eastAsia"/>
                <w:sz w:val="18"/>
                <w:szCs w:val="18"/>
              </w:rPr>
              <w:t>l</w:t>
            </w:r>
          </w:p>
        </w:tc>
        <w:tc>
          <w:tcPr>
            <w:tcW w:w="315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37" w:type="dxa"/>
            <w:vMerge w:val="restart"/>
            <w:vAlign w:val="center"/>
          </w:tcPr>
          <w:p>
            <w:pPr>
              <w:jc w:val="center"/>
              <w:rPr>
                <w:sz w:val="18"/>
                <w:szCs w:val="18"/>
              </w:rPr>
            </w:pPr>
            <w:r>
              <w:rPr>
                <w:rFonts w:hint="eastAsia"/>
                <w:sz w:val="18"/>
                <w:szCs w:val="18"/>
              </w:rPr>
              <w:drawing>
                <wp:inline distT="0" distB="0" distL="114300" distR="114300">
                  <wp:extent cx="1113155" cy="2213610"/>
                  <wp:effectExtent l="0" t="0" r="10795" b="15240"/>
                  <wp:docPr id="23" name="图片 23" descr="F:/2023/标准/图片/QQ浏览器截图20231225150524.pngQQ浏览器截图2023122515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2023/标准/图片/QQ浏览器截图20231225150524.pngQQ浏览器截图20231225150524"/>
                          <pic:cNvPicPr>
                            <a:picLocks noChangeAspect="1"/>
                          </pic:cNvPicPr>
                        </pic:nvPicPr>
                        <pic:blipFill>
                          <a:blip r:embed="rId49"/>
                          <a:srcRect l="5686" r="18267"/>
                          <a:stretch>
                            <a:fillRect/>
                          </a:stretch>
                        </pic:blipFill>
                        <pic:spPr>
                          <a:xfrm>
                            <a:off x="0" y="0"/>
                            <a:ext cx="1113155" cy="2213610"/>
                          </a:xfrm>
                          <a:prstGeom prst="rect">
                            <a:avLst/>
                          </a:prstGeom>
                        </pic:spPr>
                      </pic:pic>
                    </a:graphicData>
                  </a:graphic>
                </wp:inline>
              </w:drawing>
            </w:r>
          </w:p>
        </w:tc>
        <w:tc>
          <w:tcPr>
            <w:tcW w:w="786" w:type="dxa"/>
            <w:vMerge w:val="restart"/>
            <w:vAlign w:val="center"/>
          </w:tcPr>
          <w:p>
            <w:pPr>
              <w:jc w:val="center"/>
              <w:rPr>
                <w:sz w:val="18"/>
                <w:szCs w:val="18"/>
              </w:rPr>
            </w:pPr>
            <w:r>
              <w:rPr>
                <w:rFonts w:hint="eastAsia"/>
                <w:sz w:val="18"/>
                <w:szCs w:val="18"/>
              </w:rPr>
              <w:t>150</w:t>
            </w:r>
          </w:p>
        </w:tc>
        <w:tc>
          <w:tcPr>
            <w:tcW w:w="783" w:type="dxa"/>
            <w:vMerge w:val="restart"/>
            <w:vAlign w:val="center"/>
          </w:tcPr>
          <w:p>
            <w:pPr>
              <w:jc w:val="center"/>
              <w:rPr>
                <w:sz w:val="18"/>
                <w:szCs w:val="18"/>
              </w:rPr>
            </w:pPr>
            <w:r>
              <w:rPr>
                <w:rFonts w:hint="eastAsia"/>
                <w:sz w:val="18"/>
                <w:szCs w:val="18"/>
              </w:rPr>
              <w:t>50</w:t>
            </w:r>
          </w:p>
        </w:tc>
        <w:tc>
          <w:tcPr>
            <w:tcW w:w="784" w:type="dxa"/>
            <w:vAlign w:val="center"/>
          </w:tcPr>
          <w:p>
            <w:pPr>
              <w:jc w:val="center"/>
              <w:rPr>
                <w:sz w:val="18"/>
                <w:szCs w:val="18"/>
              </w:rPr>
            </w:pPr>
            <w:r>
              <w:rPr>
                <w:rFonts w:hint="eastAsia"/>
                <w:sz w:val="18"/>
                <w:szCs w:val="18"/>
              </w:rPr>
              <w:t>1200</w:t>
            </w:r>
          </w:p>
        </w:tc>
        <w:tc>
          <w:tcPr>
            <w:tcW w:w="3156" w:type="dxa"/>
            <w:vMerge w:val="restart"/>
            <w:vAlign w:val="center"/>
          </w:tcPr>
          <w:p>
            <w:pPr>
              <w:jc w:val="center"/>
              <w:rPr>
                <w:sz w:val="18"/>
                <w:szCs w:val="18"/>
              </w:rPr>
            </w:pPr>
            <w:r>
              <w:rPr>
                <w:rFonts w:hint="eastAsia"/>
                <w:sz w:val="18"/>
                <w:szCs w:val="18"/>
              </w:rPr>
              <w:drawing>
                <wp:inline distT="0" distB="0" distL="114300" distR="114300">
                  <wp:extent cx="1860550" cy="1412875"/>
                  <wp:effectExtent l="0" t="0" r="6350" b="15875"/>
                  <wp:docPr id="24" name="图片 24" descr="F:/2023/标准/图片/QQ浏览器截图20231225150605.pngQQ浏览器截图2023122515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2023/标准/图片/QQ浏览器截图20231225150605.pngQQ浏览器截图20231225150605"/>
                          <pic:cNvPicPr>
                            <a:picLocks noChangeAspect="1"/>
                          </pic:cNvPicPr>
                        </pic:nvPicPr>
                        <pic:blipFill>
                          <a:blip r:embed="rId50"/>
                          <a:srcRect l="3770" r="7040"/>
                          <a:stretch>
                            <a:fillRect/>
                          </a:stretch>
                        </pic:blipFill>
                        <pic:spPr>
                          <a:xfrm>
                            <a:off x="0" y="0"/>
                            <a:ext cx="1860550" cy="1412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37" w:type="dxa"/>
            <w:vMerge w:val="continue"/>
            <w:vAlign w:val="center"/>
          </w:tcPr>
          <w:p>
            <w:pPr>
              <w:jc w:val="center"/>
            </w:pPr>
          </w:p>
        </w:tc>
        <w:tc>
          <w:tcPr>
            <w:tcW w:w="786" w:type="dxa"/>
            <w:vMerge w:val="continue"/>
            <w:vAlign w:val="center"/>
          </w:tcPr>
          <w:p>
            <w:pPr>
              <w:jc w:val="center"/>
            </w:pPr>
          </w:p>
        </w:tc>
        <w:tc>
          <w:tcPr>
            <w:tcW w:w="783" w:type="dxa"/>
            <w:vMerge w:val="continue"/>
            <w:vAlign w:val="center"/>
          </w:tcPr>
          <w:p>
            <w:pPr>
              <w:jc w:val="center"/>
            </w:pPr>
          </w:p>
        </w:tc>
        <w:tc>
          <w:tcPr>
            <w:tcW w:w="784" w:type="dxa"/>
            <w:vAlign w:val="center"/>
          </w:tcPr>
          <w:p>
            <w:pPr>
              <w:jc w:val="center"/>
              <w:rPr>
                <w:sz w:val="18"/>
                <w:szCs w:val="18"/>
              </w:rPr>
            </w:pPr>
            <w:r>
              <w:rPr>
                <w:rFonts w:hint="eastAsia"/>
                <w:sz w:val="18"/>
                <w:szCs w:val="18"/>
              </w:rPr>
              <w:t>300</w:t>
            </w:r>
          </w:p>
        </w:tc>
        <w:tc>
          <w:tcPr>
            <w:tcW w:w="3156"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37" w:type="dxa"/>
            <w:vMerge w:val="continue"/>
            <w:vAlign w:val="center"/>
          </w:tcPr>
          <w:p>
            <w:pPr>
              <w:jc w:val="center"/>
            </w:pPr>
          </w:p>
        </w:tc>
        <w:tc>
          <w:tcPr>
            <w:tcW w:w="786" w:type="dxa"/>
            <w:vMerge w:val="restart"/>
            <w:vAlign w:val="center"/>
          </w:tcPr>
          <w:p>
            <w:pPr>
              <w:jc w:val="center"/>
            </w:pPr>
            <w:r>
              <w:rPr>
                <w:rFonts w:hint="eastAsia"/>
              </w:rPr>
              <w:t>100</w:t>
            </w:r>
          </w:p>
        </w:tc>
        <w:tc>
          <w:tcPr>
            <w:tcW w:w="783" w:type="dxa"/>
            <w:vMerge w:val="continue"/>
            <w:vAlign w:val="center"/>
          </w:tcPr>
          <w:p>
            <w:pPr>
              <w:jc w:val="center"/>
            </w:pPr>
          </w:p>
        </w:tc>
        <w:tc>
          <w:tcPr>
            <w:tcW w:w="784" w:type="dxa"/>
            <w:vAlign w:val="center"/>
          </w:tcPr>
          <w:p>
            <w:pPr>
              <w:jc w:val="center"/>
              <w:rPr>
                <w:sz w:val="18"/>
                <w:szCs w:val="18"/>
              </w:rPr>
            </w:pPr>
            <w:r>
              <w:rPr>
                <w:rFonts w:hint="eastAsia"/>
                <w:sz w:val="18"/>
                <w:szCs w:val="18"/>
              </w:rPr>
              <w:t>200</w:t>
            </w:r>
          </w:p>
        </w:tc>
        <w:tc>
          <w:tcPr>
            <w:tcW w:w="3156"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137" w:type="dxa"/>
            <w:vMerge w:val="continue"/>
            <w:vAlign w:val="center"/>
          </w:tcPr>
          <w:p>
            <w:pPr>
              <w:jc w:val="center"/>
            </w:pPr>
          </w:p>
        </w:tc>
        <w:tc>
          <w:tcPr>
            <w:tcW w:w="786" w:type="dxa"/>
            <w:vMerge w:val="continue"/>
            <w:vAlign w:val="center"/>
          </w:tcPr>
          <w:p>
            <w:pPr>
              <w:jc w:val="center"/>
            </w:pPr>
          </w:p>
        </w:tc>
        <w:tc>
          <w:tcPr>
            <w:tcW w:w="783" w:type="dxa"/>
            <w:vMerge w:val="continue"/>
            <w:vAlign w:val="center"/>
          </w:tcPr>
          <w:p>
            <w:pPr>
              <w:jc w:val="center"/>
            </w:pPr>
          </w:p>
        </w:tc>
        <w:tc>
          <w:tcPr>
            <w:tcW w:w="784" w:type="dxa"/>
            <w:vAlign w:val="center"/>
          </w:tcPr>
          <w:p>
            <w:pPr>
              <w:jc w:val="center"/>
            </w:pPr>
            <w:r>
              <w:rPr>
                <w:rFonts w:hint="eastAsia"/>
                <w:sz w:val="18"/>
                <w:szCs w:val="18"/>
              </w:rPr>
              <w:t>100</w:t>
            </w:r>
          </w:p>
        </w:tc>
        <w:tc>
          <w:tcPr>
            <w:tcW w:w="3156" w:type="dxa"/>
            <w:vMerge w:val="continue"/>
            <w:vAlign w:val="center"/>
          </w:tcPr>
          <w:p>
            <w:pPr>
              <w:jc w:val="center"/>
            </w:pPr>
          </w:p>
        </w:tc>
      </w:tr>
    </w:tbl>
    <w:p>
      <w:pPr>
        <w:rPr>
          <w:rFonts w:cs="Times New Roman"/>
        </w:rPr>
      </w:pPr>
      <w:r>
        <w:rPr>
          <w:rStyle w:val="22"/>
          <w:rFonts w:hint="eastAsia" w:cs="宋体"/>
        </w:rPr>
        <w:br w:type="page"/>
      </w:r>
    </w:p>
    <w:p>
      <w:pPr>
        <w:snapToGrid w:val="0"/>
        <w:rPr>
          <w:rFonts w:cs="Times New Roman"/>
        </w:rPr>
        <w:sectPr>
          <w:pgSz w:w="11906" w:h="16838"/>
          <w:pgMar w:top="1440" w:right="1800" w:bottom="1440" w:left="1800" w:header="851" w:footer="992" w:gutter="0"/>
          <w:cols w:space="425" w:num="1"/>
          <w:docGrid w:type="lines" w:linePitch="312" w:charSpace="0"/>
        </w:sectPr>
      </w:pPr>
    </w:p>
    <w:p>
      <w:pPr>
        <w:pStyle w:val="3"/>
        <w:snapToGrid w:val="0"/>
        <w:spacing w:before="0" w:after="0" w:line="360" w:lineRule="auto"/>
        <w:rPr>
          <w:rFonts w:ascii="Times New Roman" w:hAnsi="Times New Roman" w:cs="Times New Roman"/>
        </w:rPr>
      </w:pPr>
      <w:bookmarkStart w:id="123" w:name="_Toc18924"/>
      <w:r>
        <w:rPr>
          <w:rFonts w:ascii="Times New Roman" w:hAnsi="Times New Roman" w:cs="Times New Roman"/>
        </w:rPr>
        <w:t>附录</w:t>
      </w:r>
      <w:r>
        <w:rPr>
          <w:rFonts w:hint="eastAsia" w:ascii="Times New Roman" w:hAnsi="Times New Roman" w:cs="Times New Roman"/>
        </w:rPr>
        <w:t xml:space="preserve">B </w:t>
      </w:r>
      <w:r>
        <w:rPr>
          <w:rFonts w:ascii="Times New Roman" w:hAnsi="Times New Roman" w:cs="Times New Roman"/>
        </w:rPr>
        <w:t xml:space="preserve"> 质量验收记录</w:t>
      </w:r>
      <w:bookmarkEnd w:id="123"/>
    </w:p>
    <w:p>
      <w:pPr>
        <w:snapToGrid w:val="0"/>
        <w:jc w:val="center"/>
        <w:rPr>
          <w:rFonts w:cs="Times New Roman"/>
          <w:b/>
          <w:bCs/>
          <w:sz w:val="20"/>
        </w:rPr>
      </w:pPr>
      <w:r>
        <w:rPr>
          <w:rFonts w:cs="Times New Roman"/>
          <w:b/>
          <w:bCs/>
          <w:sz w:val="21"/>
          <w:szCs w:val="21"/>
        </w:rPr>
        <w:t>表</w:t>
      </w:r>
      <w:r>
        <w:rPr>
          <w:rFonts w:hint="eastAsia" w:cs="Times New Roman"/>
          <w:b/>
          <w:bCs/>
          <w:sz w:val="21"/>
          <w:szCs w:val="21"/>
        </w:rPr>
        <w:t>B</w:t>
      </w:r>
      <w:r>
        <w:rPr>
          <w:rFonts w:cs="Times New Roman"/>
          <w:b/>
          <w:bCs/>
          <w:sz w:val="21"/>
          <w:szCs w:val="21"/>
        </w:rPr>
        <w:t xml:space="preserve">.0.1 </w:t>
      </w:r>
      <w:r>
        <w:rPr>
          <w:rFonts w:cs="Times New Roman"/>
          <w:b/>
          <w:bCs/>
          <w:sz w:val="21"/>
          <w:szCs w:val="21"/>
          <w:u w:val="single"/>
        </w:rPr>
        <w:t xml:space="preserve">         </w:t>
      </w:r>
      <w:r>
        <w:rPr>
          <w:rFonts w:cs="Times New Roman"/>
          <w:b/>
          <w:bCs/>
          <w:sz w:val="21"/>
          <w:szCs w:val="21"/>
        </w:rPr>
        <w:t xml:space="preserve">检验批质量验收记录  </w:t>
      </w:r>
      <w:r>
        <w:rPr>
          <w:rFonts w:cs="Times New Roman"/>
          <w:b/>
          <w:bCs/>
          <w:sz w:val="20"/>
        </w:rPr>
        <w:t xml:space="preserve">          </w:t>
      </w:r>
    </w:p>
    <w:p>
      <w:pPr>
        <w:snapToGrid w:val="0"/>
        <w:ind w:firstLine="7228" w:firstLineChars="4000"/>
        <w:rPr>
          <w:rFonts w:cs="Times New Roman"/>
          <w:b/>
          <w:bCs/>
          <w:sz w:val="20"/>
        </w:rPr>
      </w:pPr>
      <w:r>
        <w:rPr>
          <w:rFonts w:cs="Times New Roman"/>
          <w:b/>
          <w:bCs/>
          <w:sz w:val="18"/>
          <w:szCs w:val="18"/>
        </w:rPr>
        <w:t>编号：</w:t>
      </w:r>
      <w:r>
        <w:rPr>
          <w:rFonts w:cs="Times New Roman"/>
          <w:b/>
          <w:bCs/>
          <w:sz w:val="20"/>
        </w:rPr>
        <w:t xml:space="preserve"> </w:t>
      </w:r>
    </w:p>
    <w:tbl>
      <w:tblPr>
        <w:tblStyle w:val="17"/>
        <w:tblW w:w="85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389"/>
        <w:gridCol w:w="7"/>
        <w:gridCol w:w="598"/>
        <w:gridCol w:w="1422"/>
        <w:gridCol w:w="1420"/>
        <w:gridCol w:w="1416"/>
        <w:gridCol w:w="1416"/>
        <w:gridCol w:w="14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gridSpan w:val="4"/>
            <w:tcBorders>
              <w:tl2br w:val="nil"/>
              <w:tr2bl w:val="nil"/>
            </w:tcBorders>
            <w:vAlign w:val="center"/>
          </w:tcPr>
          <w:p>
            <w:pPr>
              <w:snapToGrid w:val="0"/>
              <w:jc w:val="center"/>
              <w:rPr>
                <w:rFonts w:cs="Times New Roman"/>
                <w:sz w:val="18"/>
                <w:szCs w:val="18"/>
              </w:rPr>
            </w:pPr>
            <w:r>
              <w:rPr>
                <w:rFonts w:cs="Times New Roman"/>
                <w:sz w:val="18"/>
                <w:szCs w:val="18"/>
              </w:rPr>
              <w:t>单位（子单位）</w:t>
            </w:r>
          </w:p>
          <w:p>
            <w:pPr>
              <w:snapToGrid w:val="0"/>
              <w:jc w:val="center"/>
              <w:rPr>
                <w:rFonts w:cs="Times New Roman"/>
                <w:sz w:val="18"/>
                <w:szCs w:val="18"/>
              </w:rPr>
            </w:pPr>
            <w:r>
              <w:rPr>
                <w:rFonts w:cs="Times New Roman"/>
                <w:sz w:val="18"/>
                <w:szCs w:val="18"/>
              </w:rPr>
              <w:t>工程名称</w:t>
            </w:r>
          </w:p>
        </w:tc>
        <w:tc>
          <w:tcPr>
            <w:tcW w:w="1418"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r>
              <w:rPr>
                <w:rFonts w:cs="Times New Roman"/>
                <w:sz w:val="18"/>
                <w:szCs w:val="18"/>
              </w:rPr>
              <w:t>分部（子分部）</w:t>
            </w:r>
          </w:p>
          <w:p>
            <w:pPr>
              <w:snapToGrid w:val="0"/>
              <w:jc w:val="center"/>
              <w:rPr>
                <w:rFonts w:cs="Times New Roman"/>
                <w:sz w:val="18"/>
                <w:szCs w:val="18"/>
              </w:rPr>
            </w:pPr>
            <w:r>
              <w:rPr>
                <w:rFonts w:cs="Times New Roman"/>
                <w:sz w:val="18"/>
                <w:szCs w:val="18"/>
              </w:rPr>
              <w:t>工程名称</w:t>
            </w: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r>
              <w:rPr>
                <w:rFonts w:cs="Times New Roman"/>
                <w:sz w:val="18"/>
                <w:szCs w:val="18"/>
              </w:rPr>
              <w:t>分项工程</w:t>
            </w:r>
          </w:p>
          <w:p>
            <w:pPr>
              <w:snapToGrid w:val="0"/>
              <w:jc w:val="center"/>
              <w:rPr>
                <w:rFonts w:cs="Times New Roman"/>
                <w:sz w:val="18"/>
                <w:szCs w:val="18"/>
              </w:rPr>
            </w:pPr>
            <w:r>
              <w:rPr>
                <w:rFonts w:cs="Times New Roman"/>
                <w:sz w:val="18"/>
                <w:szCs w:val="18"/>
              </w:rPr>
              <w:t>名称</w:t>
            </w: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gridSpan w:val="4"/>
            <w:tcBorders>
              <w:tl2br w:val="nil"/>
              <w:tr2bl w:val="nil"/>
            </w:tcBorders>
            <w:vAlign w:val="center"/>
          </w:tcPr>
          <w:p>
            <w:pPr>
              <w:snapToGrid w:val="0"/>
              <w:jc w:val="center"/>
              <w:rPr>
                <w:rFonts w:cs="Times New Roman"/>
                <w:sz w:val="18"/>
                <w:szCs w:val="18"/>
              </w:rPr>
            </w:pPr>
            <w:r>
              <w:rPr>
                <w:rFonts w:cs="Times New Roman"/>
                <w:sz w:val="18"/>
                <w:szCs w:val="18"/>
              </w:rPr>
              <w:t>施工单位</w:t>
            </w:r>
          </w:p>
        </w:tc>
        <w:tc>
          <w:tcPr>
            <w:tcW w:w="1418"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r>
              <w:rPr>
                <w:rFonts w:cs="Times New Roman"/>
                <w:sz w:val="18"/>
                <w:szCs w:val="18"/>
              </w:rPr>
              <w:t>项目负责人</w:t>
            </w: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r>
              <w:rPr>
                <w:rFonts w:cs="Times New Roman"/>
                <w:sz w:val="18"/>
                <w:szCs w:val="18"/>
              </w:rPr>
              <w:t>检验批容量</w:t>
            </w: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gridSpan w:val="4"/>
            <w:tcBorders>
              <w:tl2br w:val="nil"/>
              <w:tr2bl w:val="nil"/>
            </w:tcBorders>
            <w:vAlign w:val="center"/>
          </w:tcPr>
          <w:p>
            <w:pPr>
              <w:snapToGrid w:val="0"/>
              <w:jc w:val="center"/>
              <w:rPr>
                <w:rFonts w:cs="Times New Roman"/>
                <w:sz w:val="18"/>
                <w:szCs w:val="18"/>
              </w:rPr>
            </w:pPr>
            <w:r>
              <w:rPr>
                <w:rFonts w:cs="Times New Roman"/>
                <w:sz w:val="18"/>
                <w:szCs w:val="18"/>
              </w:rPr>
              <w:t>分包单位</w:t>
            </w:r>
          </w:p>
        </w:tc>
        <w:tc>
          <w:tcPr>
            <w:tcW w:w="1418"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r>
              <w:rPr>
                <w:rFonts w:cs="Times New Roman"/>
                <w:sz w:val="18"/>
                <w:szCs w:val="18"/>
              </w:rPr>
              <w:t>分包单位</w:t>
            </w:r>
          </w:p>
          <w:p>
            <w:pPr>
              <w:snapToGrid w:val="0"/>
              <w:jc w:val="center"/>
              <w:rPr>
                <w:rFonts w:cs="Times New Roman"/>
                <w:sz w:val="18"/>
                <w:szCs w:val="18"/>
              </w:rPr>
            </w:pPr>
            <w:r>
              <w:rPr>
                <w:rFonts w:cs="Times New Roman"/>
                <w:sz w:val="18"/>
                <w:szCs w:val="18"/>
              </w:rPr>
              <w:t>项目负责人</w:t>
            </w: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r>
              <w:rPr>
                <w:rFonts w:cs="Times New Roman"/>
                <w:sz w:val="18"/>
                <w:szCs w:val="18"/>
              </w:rPr>
              <w:t>检验批部位</w:t>
            </w: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gridSpan w:val="4"/>
            <w:tcBorders>
              <w:tl2br w:val="nil"/>
              <w:tr2bl w:val="nil"/>
            </w:tcBorders>
            <w:vAlign w:val="center"/>
          </w:tcPr>
          <w:p>
            <w:pPr>
              <w:snapToGrid w:val="0"/>
              <w:jc w:val="center"/>
              <w:rPr>
                <w:rFonts w:cs="Times New Roman"/>
                <w:sz w:val="18"/>
                <w:szCs w:val="18"/>
              </w:rPr>
            </w:pPr>
            <w:r>
              <w:rPr>
                <w:rFonts w:cs="Times New Roman"/>
                <w:sz w:val="18"/>
                <w:szCs w:val="18"/>
              </w:rPr>
              <w:t>施工依据</w:t>
            </w:r>
          </w:p>
        </w:tc>
        <w:tc>
          <w:tcPr>
            <w:tcW w:w="2837" w:type="dxa"/>
            <w:gridSpan w:val="2"/>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r>
              <w:rPr>
                <w:rFonts w:cs="Times New Roman"/>
                <w:sz w:val="18"/>
                <w:szCs w:val="18"/>
              </w:rPr>
              <w:t>验收依据</w:t>
            </w:r>
          </w:p>
        </w:tc>
        <w:tc>
          <w:tcPr>
            <w:tcW w:w="2841"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restart"/>
            <w:tcBorders>
              <w:tl2br w:val="nil"/>
              <w:tr2bl w:val="nil"/>
            </w:tcBorders>
            <w:vAlign w:val="center"/>
          </w:tcPr>
          <w:p>
            <w:pPr>
              <w:snapToGrid w:val="0"/>
              <w:jc w:val="center"/>
              <w:rPr>
                <w:rFonts w:cs="Times New Roman"/>
                <w:sz w:val="18"/>
                <w:szCs w:val="18"/>
              </w:rPr>
            </w:pPr>
            <w:r>
              <w:rPr>
                <w:rFonts w:cs="Times New Roman"/>
                <w:sz w:val="18"/>
                <w:szCs w:val="18"/>
              </w:rPr>
              <w:t>主控项目</w:t>
            </w:r>
          </w:p>
        </w:tc>
        <w:tc>
          <w:tcPr>
            <w:tcW w:w="995" w:type="dxa"/>
            <w:gridSpan w:val="3"/>
            <w:tcBorders>
              <w:tl2br w:val="nil"/>
              <w:tr2bl w:val="nil"/>
            </w:tcBorders>
            <w:vAlign w:val="center"/>
          </w:tcPr>
          <w:p>
            <w:pPr>
              <w:snapToGrid w:val="0"/>
              <w:jc w:val="center"/>
              <w:rPr>
                <w:rFonts w:cs="Times New Roman"/>
                <w:sz w:val="18"/>
                <w:szCs w:val="18"/>
              </w:rPr>
            </w:pPr>
            <w:r>
              <w:rPr>
                <w:rFonts w:cs="Times New Roman"/>
                <w:sz w:val="18"/>
                <w:szCs w:val="18"/>
              </w:rPr>
              <w:t>验收项目</w:t>
            </w:r>
          </w:p>
        </w:tc>
        <w:tc>
          <w:tcPr>
            <w:tcW w:w="1416" w:type="dxa"/>
            <w:tcBorders>
              <w:tl2br w:val="nil"/>
              <w:tr2bl w:val="nil"/>
            </w:tcBorders>
            <w:vAlign w:val="center"/>
          </w:tcPr>
          <w:p>
            <w:pPr>
              <w:snapToGrid w:val="0"/>
              <w:jc w:val="center"/>
              <w:rPr>
                <w:rFonts w:cs="Times New Roman"/>
                <w:sz w:val="18"/>
                <w:szCs w:val="18"/>
              </w:rPr>
            </w:pPr>
            <w:r>
              <w:rPr>
                <w:rFonts w:cs="Times New Roman"/>
                <w:sz w:val="18"/>
                <w:szCs w:val="18"/>
              </w:rPr>
              <w:t>设计要求及</w:t>
            </w:r>
          </w:p>
          <w:p>
            <w:pPr>
              <w:snapToGrid w:val="0"/>
              <w:jc w:val="center"/>
              <w:rPr>
                <w:rFonts w:cs="Times New Roman"/>
                <w:sz w:val="18"/>
                <w:szCs w:val="18"/>
              </w:rPr>
            </w:pPr>
            <w:r>
              <w:rPr>
                <w:rFonts w:cs="Times New Roman"/>
                <w:sz w:val="18"/>
                <w:szCs w:val="18"/>
              </w:rPr>
              <w:t>规范规定</w:t>
            </w:r>
          </w:p>
        </w:tc>
        <w:tc>
          <w:tcPr>
            <w:tcW w:w="1421" w:type="dxa"/>
            <w:tcBorders>
              <w:tl2br w:val="nil"/>
              <w:tr2bl w:val="nil"/>
            </w:tcBorders>
            <w:vAlign w:val="center"/>
          </w:tcPr>
          <w:p>
            <w:pPr>
              <w:snapToGrid w:val="0"/>
              <w:jc w:val="center"/>
              <w:rPr>
                <w:rFonts w:cs="Times New Roman"/>
                <w:sz w:val="18"/>
                <w:szCs w:val="18"/>
              </w:rPr>
            </w:pPr>
            <w:r>
              <w:rPr>
                <w:rFonts w:cs="Times New Roman"/>
                <w:sz w:val="18"/>
                <w:szCs w:val="18"/>
              </w:rPr>
              <w:t>样本总数</w:t>
            </w:r>
          </w:p>
        </w:tc>
        <w:tc>
          <w:tcPr>
            <w:tcW w:w="1417" w:type="dxa"/>
            <w:tcBorders>
              <w:tl2br w:val="nil"/>
              <w:tr2bl w:val="nil"/>
            </w:tcBorders>
            <w:vAlign w:val="center"/>
          </w:tcPr>
          <w:p>
            <w:pPr>
              <w:snapToGrid w:val="0"/>
              <w:jc w:val="center"/>
              <w:rPr>
                <w:rFonts w:cs="Times New Roman"/>
                <w:sz w:val="18"/>
                <w:szCs w:val="18"/>
              </w:rPr>
            </w:pPr>
            <w:r>
              <w:rPr>
                <w:rFonts w:cs="Times New Roman"/>
                <w:sz w:val="18"/>
                <w:szCs w:val="18"/>
              </w:rPr>
              <w:t>最小/实际</w:t>
            </w:r>
          </w:p>
          <w:p>
            <w:pPr>
              <w:snapToGrid w:val="0"/>
              <w:jc w:val="center"/>
              <w:rPr>
                <w:rFonts w:cs="Times New Roman"/>
                <w:sz w:val="18"/>
                <w:szCs w:val="18"/>
              </w:rPr>
            </w:pPr>
            <w:r>
              <w:rPr>
                <w:rFonts w:cs="Times New Roman"/>
                <w:sz w:val="18"/>
                <w:szCs w:val="18"/>
              </w:rPr>
              <w:t>抽样数量</w:t>
            </w:r>
          </w:p>
        </w:tc>
        <w:tc>
          <w:tcPr>
            <w:tcW w:w="1417" w:type="dxa"/>
            <w:tcBorders>
              <w:tl2br w:val="nil"/>
              <w:tr2bl w:val="nil"/>
            </w:tcBorders>
            <w:vAlign w:val="center"/>
          </w:tcPr>
          <w:p>
            <w:pPr>
              <w:snapToGrid w:val="0"/>
              <w:jc w:val="center"/>
              <w:rPr>
                <w:rFonts w:cs="Times New Roman"/>
                <w:sz w:val="18"/>
                <w:szCs w:val="18"/>
              </w:rPr>
            </w:pPr>
            <w:r>
              <w:rPr>
                <w:rFonts w:cs="Times New Roman"/>
                <w:sz w:val="18"/>
                <w:szCs w:val="18"/>
              </w:rPr>
              <w:t>检查记录</w:t>
            </w:r>
          </w:p>
        </w:tc>
        <w:tc>
          <w:tcPr>
            <w:tcW w:w="1424" w:type="dxa"/>
            <w:tcBorders>
              <w:tl2br w:val="nil"/>
              <w:tr2bl w:val="nil"/>
            </w:tcBorders>
            <w:vAlign w:val="center"/>
          </w:tcPr>
          <w:p>
            <w:pPr>
              <w:snapToGrid w:val="0"/>
              <w:jc w:val="center"/>
              <w:rPr>
                <w:rFonts w:cs="Times New Roman"/>
                <w:sz w:val="18"/>
                <w:szCs w:val="18"/>
              </w:rPr>
            </w:pPr>
            <w:r>
              <w:rPr>
                <w:rFonts w:cs="Times New Roman"/>
                <w:sz w:val="18"/>
                <w:szCs w:val="18"/>
              </w:rPr>
              <w:t>检查结果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1</w:t>
            </w:r>
          </w:p>
        </w:tc>
        <w:tc>
          <w:tcPr>
            <w:tcW w:w="598" w:type="dxa"/>
            <w:gridSpan w:val="2"/>
            <w:tcBorders>
              <w:tl2br w:val="nil"/>
              <w:tr2bl w:val="nil"/>
            </w:tcBorders>
            <w:vAlign w:val="center"/>
          </w:tcPr>
          <w:p>
            <w:pPr>
              <w:snapToGrid w:val="0"/>
              <w:jc w:val="center"/>
              <w:rPr>
                <w:rFonts w:cs="Times New Roman"/>
                <w:sz w:val="18"/>
                <w:szCs w:val="18"/>
              </w:rPr>
            </w:pPr>
          </w:p>
        </w:tc>
        <w:tc>
          <w:tcPr>
            <w:tcW w:w="1423"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2</w:t>
            </w:r>
          </w:p>
        </w:tc>
        <w:tc>
          <w:tcPr>
            <w:tcW w:w="598" w:type="dxa"/>
            <w:gridSpan w:val="2"/>
            <w:tcBorders>
              <w:tl2br w:val="nil"/>
              <w:tr2bl w:val="nil"/>
            </w:tcBorders>
            <w:vAlign w:val="center"/>
          </w:tcPr>
          <w:p>
            <w:pPr>
              <w:snapToGrid w:val="0"/>
              <w:jc w:val="center"/>
              <w:rPr>
                <w:rFonts w:cs="Times New Roman"/>
                <w:sz w:val="18"/>
                <w:szCs w:val="18"/>
              </w:rPr>
            </w:pPr>
          </w:p>
        </w:tc>
        <w:tc>
          <w:tcPr>
            <w:tcW w:w="1423"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3</w:t>
            </w:r>
          </w:p>
        </w:tc>
        <w:tc>
          <w:tcPr>
            <w:tcW w:w="598" w:type="dxa"/>
            <w:gridSpan w:val="2"/>
            <w:tcBorders>
              <w:tl2br w:val="nil"/>
              <w:tr2bl w:val="nil"/>
            </w:tcBorders>
            <w:vAlign w:val="center"/>
          </w:tcPr>
          <w:p>
            <w:pPr>
              <w:snapToGrid w:val="0"/>
              <w:jc w:val="center"/>
              <w:rPr>
                <w:rFonts w:cs="Times New Roman"/>
                <w:sz w:val="18"/>
                <w:szCs w:val="18"/>
              </w:rPr>
            </w:pPr>
          </w:p>
        </w:tc>
        <w:tc>
          <w:tcPr>
            <w:tcW w:w="1423"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4</w:t>
            </w:r>
          </w:p>
        </w:tc>
        <w:tc>
          <w:tcPr>
            <w:tcW w:w="598" w:type="dxa"/>
            <w:gridSpan w:val="2"/>
            <w:tcBorders>
              <w:tl2br w:val="nil"/>
              <w:tr2bl w:val="nil"/>
            </w:tcBorders>
            <w:vAlign w:val="center"/>
          </w:tcPr>
          <w:p>
            <w:pPr>
              <w:snapToGrid w:val="0"/>
              <w:jc w:val="center"/>
              <w:rPr>
                <w:rFonts w:cs="Times New Roman"/>
                <w:sz w:val="18"/>
                <w:szCs w:val="18"/>
              </w:rPr>
            </w:pPr>
          </w:p>
        </w:tc>
        <w:tc>
          <w:tcPr>
            <w:tcW w:w="1423"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5</w:t>
            </w:r>
          </w:p>
        </w:tc>
        <w:tc>
          <w:tcPr>
            <w:tcW w:w="598" w:type="dxa"/>
            <w:gridSpan w:val="2"/>
            <w:tcBorders>
              <w:tl2br w:val="nil"/>
              <w:tr2bl w:val="nil"/>
            </w:tcBorders>
            <w:vAlign w:val="center"/>
          </w:tcPr>
          <w:p>
            <w:pPr>
              <w:snapToGrid w:val="0"/>
              <w:jc w:val="center"/>
              <w:rPr>
                <w:rFonts w:cs="Times New Roman"/>
                <w:sz w:val="18"/>
                <w:szCs w:val="18"/>
              </w:rPr>
            </w:pPr>
          </w:p>
        </w:tc>
        <w:tc>
          <w:tcPr>
            <w:tcW w:w="1423"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6</w:t>
            </w:r>
          </w:p>
        </w:tc>
        <w:tc>
          <w:tcPr>
            <w:tcW w:w="598" w:type="dxa"/>
            <w:gridSpan w:val="2"/>
            <w:tcBorders>
              <w:tl2br w:val="nil"/>
              <w:tr2bl w:val="nil"/>
            </w:tcBorders>
            <w:vAlign w:val="center"/>
          </w:tcPr>
          <w:p>
            <w:pPr>
              <w:snapToGrid w:val="0"/>
              <w:jc w:val="center"/>
              <w:rPr>
                <w:rFonts w:cs="Times New Roman"/>
                <w:sz w:val="18"/>
                <w:szCs w:val="18"/>
              </w:rPr>
            </w:pPr>
          </w:p>
        </w:tc>
        <w:tc>
          <w:tcPr>
            <w:tcW w:w="1423"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7</w:t>
            </w:r>
          </w:p>
        </w:tc>
        <w:tc>
          <w:tcPr>
            <w:tcW w:w="598" w:type="dxa"/>
            <w:gridSpan w:val="2"/>
            <w:tcBorders>
              <w:tl2br w:val="nil"/>
              <w:tr2bl w:val="nil"/>
            </w:tcBorders>
            <w:vAlign w:val="center"/>
          </w:tcPr>
          <w:p>
            <w:pPr>
              <w:snapToGrid w:val="0"/>
              <w:jc w:val="center"/>
              <w:rPr>
                <w:rFonts w:cs="Times New Roman"/>
                <w:sz w:val="18"/>
                <w:szCs w:val="18"/>
              </w:rPr>
            </w:pPr>
          </w:p>
        </w:tc>
        <w:tc>
          <w:tcPr>
            <w:tcW w:w="1423"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8</w:t>
            </w:r>
          </w:p>
        </w:tc>
        <w:tc>
          <w:tcPr>
            <w:tcW w:w="598" w:type="dxa"/>
            <w:gridSpan w:val="2"/>
            <w:tcBorders>
              <w:tl2br w:val="nil"/>
              <w:tr2bl w:val="nil"/>
            </w:tcBorders>
            <w:vAlign w:val="center"/>
          </w:tcPr>
          <w:p>
            <w:pPr>
              <w:snapToGrid w:val="0"/>
              <w:jc w:val="center"/>
              <w:rPr>
                <w:rFonts w:cs="Times New Roman"/>
                <w:sz w:val="18"/>
                <w:szCs w:val="18"/>
              </w:rPr>
            </w:pPr>
          </w:p>
        </w:tc>
        <w:tc>
          <w:tcPr>
            <w:tcW w:w="1423"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7" w:type="dxa"/>
            <w:gridSpan w:val="2"/>
            <w:tcBorders>
              <w:tl2br w:val="nil"/>
              <w:tr2bl w:val="nil"/>
            </w:tcBorders>
            <w:vAlign w:val="center"/>
          </w:tcPr>
          <w:p>
            <w:pPr>
              <w:snapToGrid w:val="0"/>
              <w:jc w:val="center"/>
              <w:rPr>
                <w:rFonts w:cs="Times New Roman"/>
                <w:sz w:val="18"/>
                <w:szCs w:val="18"/>
              </w:rPr>
            </w:pPr>
            <w:r>
              <w:rPr>
                <w:rFonts w:cs="Times New Roman"/>
                <w:sz w:val="18"/>
                <w:szCs w:val="18"/>
              </w:rPr>
              <w:t>9</w:t>
            </w:r>
          </w:p>
        </w:tc>
        <w:tc>
          <w:tcPr>
            <w:tcW w:w="598" w:type="dxa"/>
            <w:tcBorders>
              <w:tl2br w:val="nil"/>
              <w:tr2bl w:val="nil"/>
            </w:tcBorders>
            <w:vAlign w:val="center"/>
          </w:tcPr>
          <w:p>
            <w:pPr>
              <w:snapToGrid w:val="0"/>
              <w:jc w:val="center"/>
              <w:rPr>
                <w:rFonts w:cs="Times New Roman"/>
                <w:sz w:val="18"/>
                <w:szCs w:val="18"/>
              </w:rPr>
            </w:pPr>
          </w:p>
        </w:tc>
        <w:tc>
          <w:tcPr>
            <w:tcW w:w="1416"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7" w:type="dxa"/>
            <w:gridSpan w:val="2"/>
            <w:tcBorders>
              <w:tl2br w:val="nil"/>
              <w:tr2bl w:val="nil"/>
            </w:tcBorders>
            <w:vAlign w:val="center"/>
          </w:tcPr>
          <w:p>
            <w:pPr>
              <w:snapToGrid w:val="0"/>
              <w:jc w:val="center"/>
              <w:rPr>
                <w:rFonts w:cs="Times New Roman"/>
                <w:sz w:val="18"/>
                <w:szCs w:val="18"/>
              </w:rPr>
            </w:pPr>
            <w:r>
              <w:rPr>
                <w:rFonts w:cs="Times New Roman"/>
                <w:sz w:val="18"/>
                <w:szCs w:val="18"/>
              </w:rPr>
              <w:t>10</w:t>
            </w:r>
          </w:p>
        </w:tc>
        <w:tc>
          <w:tcPr>
            <w:tcW w:w="598" w:type="dxa"/>
            <w:tcBorders>
              <w:tl2br w:val="nil"/>
              <w:tr2bl w:val="nil"/>
            </w:tcBorders>
            <w:vAlign w:val="center"/>
          </w:tcPr>
          <w:p>
            <w:pPr>
              <w:snapToGrid w:val="0"/>
              <w:jc w:val="center"/>
              <w:rPr>
                <w:rFonts w:cs="Times New Roman"/>
                <w:sz w:val="18"/>
                <w:szCs w:val="18"/>
              </w:rPr>
            </w:pPr>
          </w:p>
        </w:tc>
        <w:tc>
          <w:tcPr>
            <w:tcW w:w="1416"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restart"/>
            <w:tcBorders>
              <w:tl2br w:val="nil"/>
              <w:tr2bl w:val="nil"/>
            </w:tcBorders>
            <w:vAlign w:val="center"/>
          </w:tcPr>
          <w:p>
            <w:pPr>
              <w:snapToGrid w:val="0"/>
              <w:jc w:val="center"/>
              <w:rPr>
                <w:rFonts w:cs="Times New Roman"/>
                <w:sz w:val="18"/>
                <w:szCs w:val="18"/>
              </w:rPr>
            </w:pPr>
            <w:r>
              <w:rPr>
                <w:rFonts w:cs="Times New Roman"/>
                <w:sz w:val="18"/>
                <w:szCs w:val="18"/>
              </w:rPr>
              <w:t>一般项目</w:t>
            </w: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1</w:t>
            </w:r>
          </w:p>
        </w:tc>
        <w:tc>
          <w:tcPr>
            <w:tcW w:w="605" w:type="dxa"/>
            <w:gridSpan w:val="2"/>
            <w:tcBorders>
              <w:tl2br w:val="nil"/>
              <w:tr2bl w:val="nil"/>
            </w:tcBorders>
            <w:vAlign w:val="center"/>
          </w:tcPr>
          <w:p>
            <w:pPr>
              <w:snapToGrid w:val="0"/>
              <w:jc w:val="center"/>
              <w:rPr>
                <w:rFonts w:cs="Times New Roman"/>
                <w:sz w:val="18"/>
                <w:szCs w:val="18"/>
              </w:rPr>
            </w:pPr>
          </w:p>
        </w:tc>
        <w:tc>
          <w:tcPr>
            <w:tcW w:w="1416"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2</w:t>
            </w:r>
          </w:p>
        </w:tc>
        <w:tc>
          <w:tcPr>
            <w:tcW w:w="605" w:type="dxa"/>
            <w:gridSpan w:val="2"/>
            <w:tcBorders>
              <w:tl2br w:val="nil"/>
              <w:tr2bl w:val="nil"/>
            </w:tcBorders>
            <w:vAlign w:val="center"/>
          </w:tcPr>
          <w:p>
            <w:pPr>
              <w:snapToGrid w:val="0"/>
              <w:jc w:val="center"/>
              <w:rPr>
                <w:rFonts w:cs="Times New Roman"/>
                <w:sz w:val="18"/>
                <w:szCs w:val="18"/>
              </w:rPr>
            </w:pPr>
          </w:p>
        </w:tc>
        <w:tc>
          <w:tcPr>
            <w:tcW w:w="1416"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3</w:t>
            </w:r>
          </w:p>
        </w:tc>
        <w:tc>
          <w:tcPr>
            <w:tcW w:w="605" w:type="dxa"/>
            <w:gridSpan w:val="2"/>
            <w:tcBorders>
              <w:tl2br w:val="nil"/>
              <w:tr2bl w:val="nil"/>
            </w:tcBorders>
            <w:vAlign w:val="center"/>
          </w:tcPr>
          <w:p>
            <w:pPr>
              <w:snapToGrid w:val="0"/>
              <w:jc w:val="center"/>
              <w:rPr>
                <w:rFonts w:cs="Times New Roman"/>
                <w:sz w:val="18"/>
                <w:szCs w:val="18"/>
              </w:rPr>
            </w:pPr>
          </w:p>
        </w:tc>
        <w:tc>
          <w:tcPr>
            <w:tcW w:w="1416"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4</w:t>
            </w:r>
          </w:p>
        </w:tc>
        <w:tc>
          <w:tcPr>
            <w:tcW w:w="605" w:type="dxa"/>
            <w:gridSpan w:val="2"/>
            <w:tcBorders>
              <w:tl2br w:val="nil"/>
              <w:tr2bl w:val="nil"/>
            </w:tcBorders>
            <w:vAlign w:val="center"/>
          </w:tcPr>
          <w:p>
            <w:pPr>
              <w:snapToGrid w:val="0"/>
              <w:jc w:val="center"/>
              <w:rPr>
                <w:rFonts w:cs="Times New Roman"/>
                <w:sz w:val="18"/>
                <w:szCs w:val="18"/>
              </w:rPr>
            </w:pPr>
          </w:p>
        </w:tc>
        <w:tc>
          <w:tcPr>
            <w:tcW w:w="1416"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vMerge w:val="continue"/>
            <w:tcBorders>
              <w:tl2br w:val="nil"/>
              <w:tr2bl w:val="nil"/>
            </w:tcBorders>
            <w:vAlign w:val="center"/>
          </w:tcPr>
          <w:p>
            <w:pPr>
              <w:snapToGrid w:val="0"/>
              <w:jc w:val="center"/>
              <w:rPr>
                <w:rFonts w:cs="Times New Roman"/>
                <w:sz w:val="18"/>
                <w:szCs w:val="18"/>
              </w:rPr>
            </w:pPr>
          </w:p>
        </w:tc>
        <w:tc>
          <w:tcPr>
            <w:tcW w:w="390" w:type="dxa"/>
            <w:tcBorders>
              <w:tl2br w:val="nil"/>
              <w:tr2bl w:val="nil"/>
            </w:tcBorders>
            <w:vAlign w:val="center"/>
          </w:tcPr>
          <w:p>
            <w:pPr>
              <w:snapToGrid w:val="0"/>
              <w:jc w:val="center"/>
              <w:rPr>
                <w:rFonts w:cs="Times New Roman"/>
                <w:sz w:val="18"/>
                <w:szCs w:val="18"/>
              </w:rPr>
            </w:pPr>
            <w:r>
              <w:rPr>
                <w:rFonts w:cs="Times New Roman"/>
                <w:sz w:val="18"/>
                <w:szCs w:val="18"/>
              </w:rPr>
              <w:t>5</w:t>
            </w:r>
          </w:p>
        </w:tc>
        <w:tc>
          <w:tcPr>
            <w:tcW w:w="605" w:type="dxa"/>
            <w:gridSpan w:val="2"/>
            <w:tcBorders>
              <w:tl2br w:val="nil"/>
              <w:tr2bl w:val="nil"/>
            </w:tcBorders>
            <w:vAlign w:val="center"/>
          </w:tcPr>
          <w:p>
            <w:pPr>
              <w:snapToGrid w:val="0"/>
              <w:jc w:val="center"/>
              <w:rPr>
                <w:rFonts w:cs="Times New Roman"/>
                <w:sz w:val="18"/>
                <w:szCs w:val="18"/>
              </w:rPr>
            </w:pPr>
          </w:p>
        </w:tc>
        <w:tc>
          <w:tcPr>
            <w:tcW w:w="1416"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17" w:type="dxa"/>
            <w:tcBorders>
              <w:tl2br w:val="nil"/>
              <w:tr2bl w:val="nil"/>
            </w:tcBorders>
            <w:vAlign w:val="center"/>
          </w:tcPr>
          <w:p>
            <w:pPr>
              <w:snapToGrid w:val="0"/>
              <w:jc w:val="center"/>
              <w:rPr>
                <w:rFonts w:cs="Times New Roman"/>
                <w:sz w:val="18"/>
                <w:szCs w:val="18"/>
              </w:rPr>
            </w:pP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419" w:type="dxa"/>
            <w:gridSpan w:val="4"/>
            <w:tcBorders>
              <w:tl2br w:val="nil"/>
              <w:tr2bl w:val="nil"/>
            </w:tcBorders>
            <w:vAlign w:val="center"/>
          </w:tcPr>
          <w:p>
            <w:pPr>
              <w:snapToGrid w:val="0"/>
              <w:jc w:val="center"/>
              <w:rPr>
                <w:rFonts w:cs="Times New Roman"/>
                <w:sz w:val="18"/>
                <w:szCs w:val="18"/>
              </w:rPr>
            </w:pPr>
            <w:r>
              <w:rPr>
                <w:rFonts w:cs="Times New Roman"/>
                <w:sz w:val="18"/>
                <w:szCs w:val="18"/>
              </w:rPr>
              <w:t>施工单位</w:t>
            </w:r>
          </w:p>
          <w:p>
            <w:pPr>
              <w:snapToGrid w:val="0"/>
              <w:jc w:val="center"/>
              <w:rPr>
                <w:rFonts w:cs="Times New Roman"/>
                <w:sz w:val="18"/>
                <w:szCs w:val="18"/>
              </w:rPr>
            </w:pPr>
            <w:r>
              <w:rPr>
                <w:rFonts w:cs="Times New Roman"/>
                <w:sz w:val="18"/>
                <w:szCs w:val="18"/>
              </w:rPr>
              <w:t>检查结果</w:t>
            </w:r>
          </w:p>
        </w:tc>
        <w:tc>
          <w:tcPr>
            <w:tcW w:w="7095" w:type="dxa"/>
            <w:gridSpan w:val="5"/>
            <w:tcBorders>
              <w:tl2br w:val="nil"/>
              <w:tr2bl w:val="nil"/>
            </w:tcBorders>
          </w:tcPr>
          <w:p>
            <w:pPr>
              <w:snapToGrid w:val="0"/>
              <w:jc w:val="both"/>
              <w:rPr>
                <w:rFonts w:cs="Times New Roman"/>
                <w:sz w:val="18"/>
                <w:szCs w:val="18"/>
              </w:rPr>
            </w:pPr>
            <w:r>
              <w:rPr>
                <w:rFonts w:cs="Times New Roman"/>
                <w:sz w:val="18"/>
                <w:szCs w:val="18"/>
              </w:rPr>
              <w:t>专业工长：</w:t>
            </w:r>
          </w:p>
          <w:p>
            <w:pPr>
              <w:snapToGrid w:val="0"/>
              <w:jc w:val="both"/>
              <w:rPr>
                <w:rFonts w:cs="Times New Roman"/>
                <w:sz w:val="18"/>
                <w:szCs w:val="18"/>
              </w:rPr>
            </w:pPr>
            <w:r>
              <w:rPr>
                <w:rFonts w:cs="Times New Roman"/>
                <w:sz w:val="18"/>
                <w:szCs w:val="18"/>
              </w:rPr>
              <w:t>项目专业质量检查员：</w:t>
            </w:r>
          </w:p>
          <w:p>
            <w:pPr>
              <w:snapToGrid w:val="0"/>
              <w:jc w:val="both"/>
              <w:rPr>
                <w:rFonts w:cs="Times New Roman"/>
                <w:sz w:val="18"/>
                <w:szCs w:val="18"/>
              </w:rPr>
            </w:pPr>
          </w:p>
          <w:p>
            <w:pPr>
              <w:snapToGrid w:val="0"/>
              <w:jc w:val="both"/>
              <w:rPr>
                <w:rFonts w:cs="Times New Roman"/>
                <w:sz w:val="18"/>
                <w:szCs w:val="18"/>
              </w:rPr>
            </w:pPr>
            <w:r>
              <w:rPr>
                <w:rFonts w:cs="Times New Roman"/>
                <w:sz w:val="18"/>
                <w:szCs w:val="1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419" w:type="dxa"/>
            <w:gridSpan w:val="4"/>
            <w:tcBorders>
              <w:tl2br w:val="nil"/>
              <w:tr2bl w:val="nil"/>
            </w:tcBorders>
            <w:vAlign w:val="center"/>
          </w:tcPr>
          <w:p>
            <w:pPr>
              <w:snapToGrid w:val="0"/>
              <w:jc w:val="center"/>
              <w:rPr>
                <w:rFonts w:cs="Times New Roman"/>
                <w:sz w:val="18"/>
                <w:szCs w:val="18"/>
              </w:rPr>
            </w:pPr>
            <w:r>
              <w:rPr>
                <w:rFonts w:cs="Times New Roman"/>
                <w:sz w:val="18"/>
                <w:szCs w:val="18"/>
              </w:rPr>
              <w:t>监理单位</w:t>
            </w:r>
          </w:p>
          <w:p>
            <w:pPr>
              <w:snapToGrid w:val="0"/>
              <w:jc w:val="center"/>
              <w:rPr>
                <w:rFonts w:cs="Times New Roman"/>
                <w:sz w:val="18"/>
                <w:szCs w:val="18"/>
              </w:rPr>
            </w:pPr>
            <w:r>
              <w:rPr>
                <w:rFonts w:cs="Times New Roman"/>
                <w:sz w:val="18"/>
                <w:szCs w:val="18"/>
              </w:rPr>
              <w:t>验收结论</w:t>
            </w:r>
          </w:p>
        </w:tc>
        <w:tc>
          <w:tcPr>
            <w:tcW w:w="7095" w:type="dxa"/>
            <w:gridSpan w:val="5"/>
            <w:tcBorders>
              <w:tl2br w:val="nil"/>
              <w:tr2bl w:val="nil"/>
            </w:tcBorders>
          </w:tcPr>
          <w:p>
            <w:pPr>
              <w:snapToGrid w:val="0"/>
              <w:jc w:val="both"/>
              <w:rPr>
                <w:rFonts w:cs="Times New Roman"/>
                <w:sz w:val="18"/>
                <w:szCs w:val="18"/>
              </w:rPr>
            </w:pPr>
            <w:r>
              <w:rPr>
                <w:rFonts w:cs="Times New Roman"/>
                <w:sz w:val="18"/>
                <w:szCs w:val="18"/>
              </w:rPr>
              <w:t>专业监理工程师：</w:t>
            </w:r>
          </w:p>
          <w:p>
            <w:pPr>
              <w:snapToGrid w:val="0"/>
              <w:jc w:val="both"/>
              <w:rPr>
                <w:rFonts w:cs="Times New Roman"/>
                <w:sz w:val="18"/>
                <w:szCs w:val="18"/>
              </w:rPr>
            </w:pPr>
          </w:p>
          <w:p>
            <w:pPr>
              <w:snapToGrid w:val="0"/>
              <w:jc w:val="both"/>
              <w:rPr>
                <w:rFonts w:cs="Times New Roman"/>
                <w:sz w:val="18"/>
                <w:szCs w:val="18"/>
              </w:rPr>
            </w:pPr>
          </w:p>
          <w:p>
            <w:pPr>
              <w:snapToGrid w:val="0"/>
              <w:jc w:val="both"/>
              <w:rPr>
                <w:rFonts w:cs="Times New Roman"/>
                <w:sz w:val="18"/>
                <w:szCs w:val="18"/>
              </w:rPr>
            </w:pPr>
            <w:r>
              <w:rPr>
                <w:rFonts w:cs="Times New Roman"/>
                <w:sz w:val="18"/>
                <w:szCs w:val="18"/>
              </w:rPr>
              <w:t xml:space="preserve">                                                               年   月   日</w:t>
            </w:r>
          </w:p>
        </w:tc>
      </w:tr>
    </w:tbl>
    <w:p>
      <w:pPr>
        <w:snapToGrid w:val="0"/>
        <w:rPr>
          <w:rFonts w:cs="Times New Roman"/>
          <w:b/>
          <w:bCs/>
          <w:sz w:val="20"/>
        </w:rPr>
      </w:pPr>
      <w:r>
        <w:rPr>
          <w:rFonts w:cs="Times New Roman"/>
          <w:b/>
          <w:bCs/>
          <w:sz w:val="20"/>
        </w:rPr>
        <w:t xml:space="preserve">    </w:t>
      </w:r>
    </w:p>
    <w:p>
      <w:pPr>
        <w:snapToGrid w:val="0"/>
        <w:jc w:val="center"/>
        <w:rPr>
          <w:rFonts w:cs="Times New Roman"/>
          <w:b/>
          <w:bCs/>
          <w:sz w:val="20"/>
        </w:rPr>
        <w:sectPr>
          <w:pgSz w:w="11906" w:h="16838"/>
          <w:pgMar w:top="1440" w:right="1800" w:bottom="1440" w:left="1800" w:header="851" w:footer="992" w:gutter="0"/>
          <w:cols w:space="425" w:num="1"/>
          <w:docGrid w:type="lines" w:linePitch="312" w:charSpace="0"/>
        </w:sectPr>
      </w:pPr>
    </w:p>
    <w:p>
      <w:pPr>
        <w:snapToGrid w:val="0"/>
        <w:jc w:val="center"/>
        <w:rPr>
          <w:rFonts w:cs="Times New Roman"/>
          <w:b/>
          <w:bCs/>
          <w:sz w:val="20"/>
        </w:rPr>
      </w:pPr>
      <w:r>
        <w:rPr>
          <w:rFonts w:cs="Times New Roman"/>
          <w:b/>
          <w:bCs/>
          <w:sz w:val="21"/>
          <w:szCs w:val="21"/>
        </w:rPr>
        <w:t>表</w:t>
      </w:r>
      <w:r>
        <w:rPr>
          <w:rFonts w:hint="eastAsia" w:cs="Times New Roman"/>
          <w:b/>
          <w:bCs/>
          <w:sz w:val="21"/>
          <w:szCs w:val="21"/>
        </w:rPr>
        <w:t>B</w:t>
      </w:r>
      <w:r>
        <w:rPr>
          <w:rFonts w:cs="Times New Roman"/>
          <w:b/>
          <w:bCs/>
          <w:sz w:val="21"/>
          <w:szCs w:val="21"/>
        </w:rPr>
        <w:t xml:space="preserve">.0.2 </w:t>
      </w:r>
      <w:r>
        <w:rPr>
          <w:rFonts w:cs="Times New Roman"/>
          <w:b/>
          <w:bCs/>
          <w:sz w:val="21"/>
          <w:szCs w:val="21"/>
          <w:u w:val="single"/>
        </w:rPr>
        <w:t xml:space="preserve">         </w:t>
      </w:r>
      <w:r>
        <w:rPr>
          <w:rFonts w:cs="Times New Roman"/>
          <w:b/>
          <w:bCs/>
          <w:sz w:val="21"/>
          <w:szCs w:val="21"/>
        </w:rPr>
        <w:t>分项工程质量验收记录</w:t>
      </w:r>
      <w:r>
        <w:rPr>
          <w:rFonts w:cs="Times New Roman"/>
          <w:b/>
          <w:bCs/>
          <w:sz w:val="20"/>
        </w:rPr>
        <w:t xml:space="preserve">            </w:t>
      </w:r>
    </w:p>
    <w:p>
      <w:pPr>
        <w:snapToGrid w:val="0"/>
        <w:ind w:firstLine="7228" w:firstLineChars="4000"/>
        <w:rPr>
          <w:rFonts w:cs="Times New Roman"/>
          <w:b/>
          <w:bCs/>
          <w:sz w:val="18"/>
          <w:szCs w:val="18"/>
        </w:rPr>
      </w:pPr>
      <w:r>
        <w:rPr>
          <w:rFonts w:cs="Times New Roman"/>
          <w:b/>
          <w:bCs/>
          <w:sz w:val="18"/>
          <w:szCs w:val="18"/>
        </w:rPr>
        <w:t>编号：</w:t>
      </w:r>
    </w:p>
    <w:tbl>
      <w:tblPr>
        <w:tblStyle w:val="17"/>
        <w:tblW w:w="85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91"/>
        <w:gridCol w:w="1421"/>
        <w:gridCol w:w="1420"/>
        <w:gridCol w:w="1416"/>
        <w:gridCol w:w="708"/>
        <w:gridCol w:w="709"/>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单位（子单位）</w:t>
            </w:r>
          </w:p>
          <w:p>
            <w:pPr>
              <w:snapToGrid w:val="0"/>
              <w:jc w:val="center"/>
              <w:rPr>
                <w:rFonts w:cs="Times New Roman"/>
                <w:sz w:val="18"/>
                <w:szCs w:val="18"/>
              </w:rPr>
            </w:pPr>
            <w:r>
              <w:rPr>
                <w:rFonts w:cs="Times New Roman"/>
                <w:sz w:val="18"/>
                <w:szCs w:val="18"/>
              </w:rPr>
              <w:t>工程名称</w:t>
            </w:r>
          </w:p>
        </w:tc>
        <w:tc>
          <w:tcPr>
            <w:tcW w:w="1420"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r>
              <w:rPr>
                <w:rFonts w:cs="Times New Roman"/>
                <w:sz w:val="18"/>
                <w:szCs w:val="18"/>
              </w:rPr>
              <w:t>分部（子分部）</w:t>
            </w:r>
          </w:p>
          <w:p>
            <w:pPr>
              <w:snapToGrid w:val="0"/>
              <w:jc w:val="center"/>
              <w:rPr>
                <w:rFonts w:cs="Times New Roman"/>
                <w:sz w:val="18"/>
                <w:szCs w:val="18"/>
              </w:rPr>
            </w:pPr>
            <w:r>
              <w:rPr>
                <w:rFonts w:cs="Times New Roman"/>
                <w:sz w:val="18"/>
                <w:szCs w:val="18"/>
              </w:rPr>
              <w:t>工程名称</w:t>
            </w:r>
          </w:p>
        </w:tc>
        <w:tc>
          <w:tcPr>
            <w:tcW w:w="4259" w:type="dxa"/>
            <w:gridSpan w:val="4"/>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分项工程名称</w:t>
            </w:r>
          </w:p>
        </w:tc>
        <w:tc>
          <w:tcPr>
            <w:tcW w:w="1420"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r>
              <w:rPr>
                <w:rFonts w:cs="Times New Roman"/>
                <w:sz w:val="18"/>
                <w:szCs w:val="18"/>
              </w:rPr>
              <w:t>检验批数量</w:t>
            </w:r>
          </w:p>
        </w:tc>
        <w:tc>
          <w:tcPr>
            <w:tcW w:w="4259" w:type="dxa"/>
            <w:gridSpan w:val="4"/>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施工单位</w:t>
            </w: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r>
              <w:rPr>
                <w:rFonts w:cs="Times New Roman"/>
                <w:sz w:val="18"/>
                <w:szCs w:val="18"/>
              </w:rPr>
              <w:t>项目负责人</w:t>
            </w:r>
          </w:p>
        </w:tc>
        <w:tc>
          <w:tcPr>
            <w:tcW w:w="1417" w:type="dxa"/>
            <w:tcBorders>
              <w:tl2br w:val="nil"/>
              <w:tr2bl w:val="nil"/>
            </w:tcBorders>
            <w:vAlign w:val="center"/>
          </w:tcPr>
          <w:p>
            <w:pPr>
              <w:snapToGrid w:val="0"/>
              <w:jc w:val="center"/>
              <w:rPr>
                <w:rFonts w:cs="Times New Roman"/>
                <w:sz w:val="18"/>
                <w:szCs w:val="18"/>
              </w:rPr>
            </w:pPr>
          </w:p>
        </w:tc>
        <w:tc>
          <w:tcPr>
            <w:tcW w:w="1417" w:type="dxa"/>
            <w:gridSpan w:val="2"/>
            <w:tcBorders>
              <w:tl2br w:val="nil"/>
              <w:tr2bl w:val="nil"/>
            </w:tcBorders>
            <w:vAlign w:val="center"/>
          </w:tcPr>
          <w:p>
            <w:pPr>
              <w:snapToGrid w:val="0"/>
              <w:jc w:val="center"/>
              <w:rPr>
                <w:rFonts w:cs="Times New Roman"/>
                <w:sz w:val="18"/>
                <w:szCs w:val="18"/>
              </w:rPr>
            </w:pPr>
            <w:r>
              <w:rPr>
                <w:rFonts w:cs="Times New Roman"/>
                <w:sz w:val="18"/>
                <w:szCs w:val="18"/>
              </w:rPr>
              <w:t>项目技术</w:t>
            </w:r>
          </w:p>
          <w:p>
            <w:pPr>
              <w:snapToGrid w:val="0"/>
              <w:jc w:val="center"/>
              <w:rPr>
                <w:rFonts w:cs="Times New Roman"/>
                <w:sz w:val="18"/>
                <w:szCs w:val="18"/>
              </w:rPr>
            </w:pPr>
            <w:r>
              <w:rPr>
                <w:rFonts w:cs="Times New Roman"/>
                <w:sz w:val="18"/>
                <w:szCs w:val="18"/>
              </w:rPr>
              <w:t>负责人</w:t>
            </w: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分包单位</w:t>
            </w:r>
          </w:p>
        </w:tc>
        <w:tc>
          <w:tcPr>
            <w:tcW w:w="1422" w:type="dxa"/>
            <w:tcBorders>
              <w:tl2br w:val="nil"/>
              <w:tr2bl w:val="nil"/>
            </w:tcBorders>
            <w:vAlign w:val="center"/>
          </w:tcPr>
          <w:p>
            <w:pPr>
              <w:snapToGrid w:val="0"/>
              <w:jc w:val="center"/>
              <w:rPr>
                <w:rFonts w:cs="Times New Roman"/>
                <w:sz w:val="18"/>
                <w:szCs w:val="18"/>
              </w:rPr>
            </w:pPr>
          </w:p>
        </w:tc>
        <w:tc>
          <w:tcPr>
            <w:tcW w:w="1419" w:type="dxa"/>
            <w:tcBorders>
              <w:tl2br w:val="nil"/>
              <w:tr2bl w:val="nil"/>
            </w:tcBorders>
            <w:vAlign w:val="center"/>
          </w:tcPr>
          <w:p>
            <w:pPr>
              <w:snapToGrid w:val="0"/>
              <w:jc w:val="center"/>
              <w:rPr>
                <w:rFonts w:cs="Times New Roman"/>
                <w:sz w:val="18"/>
                <w:szCs w:val="18"/>
              </w:rPr>
            </w:pPr>
            <w:r>
              <w:rPr>
                <w:rFonts w:cs="Times New Roman"/>
                <w:sz w:val="18"/>
                <w:szCs w:val="18"/>
              </w:rPr>
              <w:t>分包单位</w:t>
            </w:r>
          </w:p>
          <w:p>
            <w:pPr>
              <w:snapToGrid w:val="0"/>
              <w:jc w:val="center"/>
              <w:rPr>
                <w:rFonts w:cs="Times New Roman"/>
                <w:sz w:val="18"/>
                <w:szCs w:val="18"/>
              </w:rPr>
            </w:pPr>
            <w:r>
              <w:rPr>
                <w:rFonts w:cs="Times New Roman"/>
                <w:sz w:val="18"/>
                <w:szCs w:val="18"/>
              </w:rPr>
              <w:t>项目负责人</w:t>
            </w:r>
          </w:p>
        </w:tc>
        <w:tc>
          <w:tcPr>
            <w:tcW w:w="1417" w:type="dxa"/>
            <w:tcBorders>
              <w:tl2br w:val="nil"/>
              <w:tr2bl w:val="nil"/>
            </w:tcBorders>
            <w:vAlign w:val="center"/>
          </w:tcPr>
          <w:p>
            <w:pPr>
              <w:snapToGrid w:val="0"/>
              <w:jc w:val="center"/>
              <w:rPr>
                <w:rFonts w:cs="Times New Roman"/>
                <w:sz w:val="18"/>
                <w:szCs w:val="18"/>
              </w:rPr>
            </w:pPr>
          </w:p>
        </w:tc>
        <w:tc>
          <w:tcPr>
            <w:tcW w:w="1417" w:type="dxa"/>
            <w:gridSpan w:val="2"/>
            <w:tcBorders>
              <w:tl2br w:val="nil"/>
              <w:tr2bl w:val="nil"/>
            </w:tcBorders>
            <w:vAlign w:val="center"/>
          </w:tcPr>
          <w:p>
            <w:pPr>
              <w:snapToGrid w:val="0"/>
              <w:jc w:val="center"/>
              <w:rPr>
                <w:rFonts w:cs="Times New Roman"/>
                <w:sz w:val="18"/>
                <w:szCs w:val="18"/>
              </w:rPr>
            </w:pPr>
            <w:r>
              <w:rPr>
                <w:rFonts w:cs="Times New Roman"/>
                <w:sz w:val="18"/>
                <w:szCs w:val="18"/>
              </w:rPr>
              <w:t>分包内容</w:t>
            </w: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序号</w:t>
            </w:r>
          </w:p>
        </w:tc>
        <w:tc>
          <w:tcPr>
            <w:tcW w:w="991" w:type="dxa"/>
            <w:tcBorders>
              <w:tl2br w:val="nil"/>
              <w:tr2bl w:val="nil"/>
            </w:tcBorders>
            <w:vAlign w:val="center"/>
          </w:tcPr>
          <w:p>
            <w:pPr>
              <w:snapToGrid w:val="0"/>
              <w:jc w:val="center"/>
              <w:rPr>
                <w:rFonts w:cs="Times New Roman"/>
                <w:sz w:val="18"/>
                <w:szCs w:val="18"/>
              </w:rPr>
            </w:pPr>
            <w:r>
              <w:rPr>
                <w:rFonts w:cs="Times New Roman"/>
                <w:sz w:val="18"/>
                <w:szCs w:val="18"/>
              </w:rPr>
              <w:t>检验批</w:t>
            </w:r>
          </w:p>
          <w:p>
            <w:pPr>
              <w:snapToGrid w:val="0"/>
              <w:jc w:val="center"/>
              <w:rPr>
                <w:rFonts w:cs="Times New Roman"/>
                <w:sz w:val="18"/>
                <w:szCs w:val="18"/>
              </w:rPr>
            </w:pPr>
            <w:r>
              <w:rPr>
                <w:rFonts w:cs="Times New Roman"/>
                <w:sz w:val="18"/>
                <w:szCs w:val="18"/>
              </w:rPr>
              <w:t>名称</w:t>
            </w:r>
          </w:p>
        </w:tc>
        <w:tc>
          <w:tcPr>
            <w:tcW w:w="1420" w:type="dxa"/>
            <w:tcBorders>
              <w:tl2br w:val="nil"/>
              <w:tr2bl w:val="nil"/>
            </w:tcBorders>
            <w:vAlign w:val="center"/>
          </w:tcPr>
          <w:p>
            <w:pPr>
              <w:snapToGrid w:val="0"/>
              <w:jc w:val="center"/>
              <w:rPr>
                <w:rFonts w:cs="Times New Roman"/>
                <w:sz w:val="18"/>
                <w:szCs w:val="18"/>
              </w:rPr>
            </w:pPr>
            <w:r>
              <w:rPr>
                <w:rFonts w:cs="Times New Roman"/>
                <w:sz w:val="18"/>
                <w:szCs w:val="18"/>
              </w:rPr>
              <w:t>检验批</w:t>
            </w:r>
          </w:p>
          <w:p>
            <w:pPr>
              <w:snapToGrid w:val="0"/>
              <w:jc w:val="center"/>
              <w:rPr>
                <w:rFonts w:cs="Times New Roman"/>
                <w:sz w:val="18"/>
                <w:szCs w:val="18"/>
              </w:rPr>
            </w:pPr>
            <w:r>
              <w:rPr>
                <w:rFonts w:cs="Times New Roman"/>
                <w:sz w:val="18"/>
                <w:szCs w:val="18"/>
              </w:rPr>
              <w:t>容量</w:t>
            </w:r>
          </w:p>
        </w:tc>
        <w:tc>
          <w:tcPr>
            <w:tcW w:w="1421" w:type="dxa"/>
            <w:tcBorders>
              <w:tl2br w:val="nil"/>
              <w:tr2bl w:val="nil"/>
            </w:tcBorders>
            <w:vAlign w:val="center"/>
          </w:tcPr>
          <w:p>
            <w:pPr>
              <w:snapToGrid w:val="0"/>
              <w:jc w:val="center"/>
              <w:rPr>
                <w:rFonts w:cs="Times New Roman"/>
                <w:sz w:val="18"/>
                <w:szCs w:val="18"/>
              </w:rPr>
            </w:pPr>
            <w:r>
              <w:rPr>
                <w:rFonts w:cs="Times New Roman"/>
                <w:sz w:val="18"/>
                <w:szCs w:val="18"/>
              </w:rPr>
              <w:t>部位/区段</w:t>
            </w:r>
          </w:p>
        </w:tc>
        <w:tc>
          <w:tcPr>
            <w:tcW w:w="2125" w:type="dxa"/>
            <w:gridSpan w:val="2"/>
            <w:tcBorders>
              <w:tl2br w:val="nil"/>
              <w:tr2bl w:val="nil"/>
            </w:tcBorders>
            <w:vAlign w:val="center"/>
          </w:tcPr>
          <w:p>
            <w:pPr>
              <w:snapToGrid w:val="0"/>
              <w:jc w:val="center"/>
              <w:rPr>
                <w:rFonts w:cs="Times New Roman"/>
                <w:sz w:val="18"/>
                <w:szCs w:val="18"/>
              </w:rPr>
            </w:pPr>
            <w:r>
              <w:rPr>
                <w:rFonts w:cs="Times New Roman"/>
                <w:sz w:val="18"/>
                <w:szCs w:val="18"/>
              </w:rPr>
              <w:t>施工单位检查结果</w:t>
            </w:r>
          </w:p>
        </w:tc>
        <w:tc>
          <w:tcPr>
            <w:tcW w:w="2133" w:type="dxa"/>
            <w:gridSpan w:val="2"/>
            <w:tcBorders>
              <w:tl2br w:val="nil"/>
              <w:tr2bl w:val="nil"/>
            </w:tcBorders>
            <w:vAlign w:val="center"/>
          </w:tcPr>
          <w:p>
            <w:pPr>
              <w:snapToGrid w:val="0"/>
              <w:jc w:val="center"/>
              <w:rPr>
                <w:rFonts w:cs="Times New Roman"/>
                <w:sz w:val="18"/>
                <w:szCs w:val="18"/>
              </w:rPr>
            </w:pPr>
            <w:r>
              <w:rPr>
                <w:rFonts w:cs="Times New Roman"/>
                <w:sz w:val="18"/>
                <w:szCs w:val="18"/>
              </w:rPr>
              <w:t>监理单位验收结论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2</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3</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4</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5</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6</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7</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8</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9</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10</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11</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12</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13</w:t>
            </w:r>
          </w:p>
        </w:tc>
        <w:tc>
          <w:tcPr>
            <w:tcW w:w="991" w:type="dxa"/>
            <w:tcBorders>
              <w:tl2br w:val="nil"/>
              <w:tr2bl w:val="nil"/>
            </w:tcBorders>
            <w:vAlign w:val="center"/>
          </w:tcPr>
          <w:p>
            <w:pPr>
              <w:snapToGrid w:val="0"/>
              <w:jc w:val="center"/>
              <w:rPr>
                <w:rFonts w:cs="Times New Roman"/>
                <w:sz w:val="18"/>
                <w:szCs w:val="18"/>
              </w:rPr>
            </w:pP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14" w:type="dxa"/>
            <w:gridSpan w:val="8"/>
            <w:tcBorders>
              <w:tl2br w:val="nil"/>
              <w:tr2bl w:val="nil"/>
            </w:tcBorders>
          </w:tcPr>
          <w:p>
            <w:pPr>
              <w:snapToGrid w:val="0"/>
              <w:jc w:val="both"/>
              <w:rPr>
                <w:rFonts w:cs="Times New Roman"/>
                <w:sz w:val="18"/>
                <w:szCs w:val="18"/>
              </w:rPr>
            </w:pPr>
            <w:r>
              <w:rPr>
                <w:rFonts w:cs="Times New Roman"/>
                <w:sz w:val="18"/>
                <w:szCs w:val="18"/>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施工单位</w:t>
            </w:r>
          </w:p>
          <w:p>
            <w:pPr>
              <w:snapToGrid w:val="0"/>
              <w:jc w:val="center"/>
              <w:rPr>
                <w:rFonts w:cs="Times New Roman"/>
                <w:sz w:val="18"/>
                <w:szCs w:val="18"/>
              </w:rPr>
            </w:pPr>
            <w:r>
              <w:rPr>
                <w:rFonts w:cs="Times New Roman"/>
                <w:sz w:val="18"/>
                <w:szCs w:val="18"/>
              </w:rPr>
              <w:t>检查结果</w:t>
            </w:r>
          </w:p>
        </w:tc>
        <w:tc>
          <w:tcPr>
            <w:tcW w:w="7099" w:type="dxa"/>
            <w:gridSpan w:val="6"/>
            <w:tcBorders>
              <w:tl2br w:val="nil"/>
              <w:tr2bl w:val="nil"/>
            </w:tcBorders>
          </w:tcPr>
          <w:p>
            <w:pPr>
              <w:snapToGrid w:val="0"/>
              <w:jc w:val="both"/>
              <w:rPr>
                <w:rFonts w:cs="Times New Roman"/>
                <w:sz w:val="18"/>
                <w:szCs w:val="18"/>
              </w:rPr>
            </w:pPr>
            <w:r>
              <w:rPr>
                <w:rFonts w:cs="Times New Roman"/>
                <w:sz w:val="18"/>
                <w:szCs w:val="18"/>
              </w:rPr>
              <w:t>项目专业技术负责人：</w:t>
            </w:r>
          </w:p>
          <w:p>
            <w:pPr>
              <w:snapToGrid w:val="0"/>
              <w:jc w:val="both"/>
              <w:rPr>
                <w:rFonts w:cs="Times New Roman"/>
                <w:sz w:val="18"/>
                <w:szCs w:val="18"/>
              </w:rPr>
            </w:pPr>
          </w:p>
          <w:p>
            <w:pPr>
              <w:snapToGrid w:val="0"/>
              <w:jc w:val="both"/>
              <w:rPr>
                <w:rFonts w:cs="Times New Roman"/>
                <w:sz w:val="18"/>
                <w:szCs w:val="18"/>
              </w:rPr>
            </w:pPr>
          </w:p>
          <w:p>
            <w:pPr>
              <w:snapToGrid w:val="0"/>
              <w:jc w:val="both"/>
              <w:rPr>
                <w:rFonts w:cs="Times New Roman"/>
                <w:sz w:val="18"/>
                <w:szCs w:val="18"/>
              </w:rPr>
            </w:pPr>
            <w:r>
              <w:rPr>
                <w:rFonts w:cs="Times New Roman"/>
                <w:sz w:val="18"/>
                <w:szCs w:val="1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监理单位</w:t>
            </w:r>
          </w:p>
          <w:p>
            <w:pPr>
              <w:snapToGrid w:val="0"/>
              <w:jc w:val="center"/>
              <w:rPr>
                <w:rFonts w:cs="Times New Roman"/>
                <w:sz w:val="18"/>
                <w:szCs w:val="18"/>
              </w:rPr>
            </w:pPr>
            <w:r>
              <w:rPr>
                <w:rFonts w:cs="Times New Roman"/>
                <w:sz w:val="18"/>
                <w:szCs w:val="18"/>
              </w:rPr>
              <w:t>验收结论</w:t>
            </w:r>
          </w:p>
        </w:tc>
        <w:tc>
          <w:tcPr>
            <w:tcW w:w="7099" w:type="dxa"/>
            <w:gridSpan w:val="6"/>
            <w:tcBorders>
              <w:tl2br w:val="nil"/>
              <w:tr2bl w:val="nil"/>
            </w:tcBorders>
          </w:tcPr>
          <w:p>
            <w:pPr>
              <w:snapToGrid w:val="0"/>
              <w:jc w:val="both"/>
              <w:rPr>
                <w:rFonts w:cs="Times New Roman"/>
                <w:sz w:val="18"/>
                <w:szCs w:val="18"/>
              </w:rPr>
            </w:pPr>
            <w:r>
              <w:rPr>
                <w:rFonts w:cs="Times New Roman"/>
                <w:sz w:val="18"/>
                <w:szCs w:val="18"/>
              </w:rPr>
              <w:t>专业监理工程师：</w:t>
            </w:r>
          </w:p>
          <w:p>
            <w:pPr>
              <w:snapToGrid w:val="0"/>
              <w:jc w:val="both"/>
              <w:rPr>
                <w:rFonts w:cs="Times New Roman"/>
                <w:sz w:val="18"/>
                <w:szCs w:val="18"/>
              </w:rPr>
            </w:pPr>
          </w:p>
          <w:p>
            <w:pPr>
              <w:snapToGrid w:val="0"/>
              <w:jc w:val="both"/>
              <w:rPr>
                <w:rFonts w:cs="Times New Roman"/>
                <w:sz w:val="18"/>
                <w:szCs w:val="18"/>
              </w:rPr>
            </w:pPr>
          </w:p>
          <w:p>
            <w:pPr>
              <w:snapToGrid w:val="0"/>
              <w:jc w:val="both"/>
              <w:rPr>
                <w:rFonts w:cs="Times New Roman"/>
                <w:sz w:val="18"/>
                <w:szCs w:val="18"/>
              </w:rPr>
            </w:pPr>
            <w:r>
              <w:rPr>
                <w:rFonts w:cs="Times New Roman"/>
                <w:sz w:val="18"/>
                <w:szCs w:val="18"/>
              </w:rPr>
              <w:t xml:space="preserve">                                                               年   月   日</w:t>
            </w:r>
          </w:p>
        </w:tc>
      </w:tr>
    </w:tbl>
    <w:p>
      <w:pPr>
        <w:snapToGrid w:val="0"/>
        <w:ind w:firstLine="8031" w:firstLineChars="4000"/>
        <w:rPr>
          <w:rFonts w:cs="Times New Roman"/>
          <w:b/>
          <w:bCs/>
          <w:sz w:val="20"/>
        </w:rPr>
        <w:sectPr>
          <w:pgSz w:w="11906" w:h="16838"/>
          <w:pgMar w:top="1440" w:right="1800" w:bottom="1440" w:left="1800" w:header="851" w:footer="992" w:gutter="0"/>
          <w:cols w:space="425" w:num="1"/>
          <w:docGrid w:type="lines" w:linePitch="312" w:charSpace="0"/>
        </w:sectPr>
      </w:pPr>
    </w:p>
    <w:p>
      <w:pPr>
        <w:snapToGrid w:val="0"/>
        <w:jc w:val="center"/>
        <w:rPr>
          <w:rFonts w:cs="Times New Roman"/>
          <w:b/>
          <w:bCs/>
          <w:sz w:val="20"/>
        </w:rPr>
      </w:pPr>
      <w:r>
        <w:rPr>
          <w:rFonts w:cs="Times New Roman"/>
          <w:b/>
          <w:bCs/>
          <w:sz w:val="21"/>
          <w:szCs w:val="21"/>
        </w:rPr>
        <w:t>表</w:t>
      </w:r>
      <w:r>
        <w:rPr>
          <w:rFonts w:hint="eastAsia" w:cs="Times New Roman"/>
          <w:b/>
          <w:bCs/>
          <w:sz w:val="21"/>
          <w:szCs w:val="21"/>
        </w:rPr>
        <w:t>B</w:t>
      </w:r>
      <w:r>
        <w:rPr>
          <w:rFonts w:cs="Times New Roman"/>
          <w:b/>
          <w:bCs/>
          <w:sz w:val="21"/>
          <w:szCs w:val="21"/>
        </w:rPr>
        <w:t xml:space="preserve">.0.3 装配式复合轻质墙体工程质量验收记录 </w:t>
      </w:r>
      <w:r>
        <w:rPr>
          <w:rFonts w:cs="Times New Roman"/>
          <w:b/>
          <w:bCs/>
          <w:sz w:val="20"/>
        </w:rPr>
        <w:t xml:space="preserve">           </w:t>
      </w:r>
    </w:p>
    <w:p>
      <w:pPr>
        <w:snapToGrid w:val="0"/>
        <w:ind w:firstLine="7228" w:firstLineChars="4000"/>
        <w:rPr>
          <w:rFonts w:cs="Times New Roman"/>
          <w:b/>
          <w:bCs/>
          <w:sz w:val="20"/>
        </w:rPr>
      </w:pPr>
      <w:r>
        <w:rPr>
          <w:rFonts w:cs="Times New Roman"/>
          <w:b/>
          <w:bCs/>
          <w:sz w:val="18"/>
          <w:szCs w:val="18"/>
        </w:rPr>
        <w:t>编号：</w:t>
      </w:r>
      <w:r>
        <w:rPr>
          <w:rFonts w:cs="Times New Roman"/>
          <w:b/>
          <w:bCs/>
          <w:sz w:val="20"/>
        </w:rPr>
        <w:t xml:space="preserve"> </w:t>
      </w:r>
    </w:p>
    <w:tbl>
      <w:tblPr>
        <w:tblStyle w:val="17"/>
        <w:tblW w:w="85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4"/>
        <w:gridCol w:w="990"/>
        <w:gridCol w:w="1422"/>
        <w:gridCol w:w="1420"/>
        <w:gridCol w:w="1416"/>
        <w:gridCol w:w="708"/>
        <w:gridCol w:w="711"/>
        <w:gridCol w:w="1423"/>
      </w:tblGrid>
      <w:tr>
        <w:tblPrEx>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单位（子单位）</w:t>
            </w:r>
          </w:p>
          <w:p>
            <w:pPr>
              <w:snapToGrid w:val="0"/>
              <w:jc w:val="center"/>
              <w:rPr>
                <w:rFonts w:cs="Times New Roman"/>
                <w:sz w:val="18"/>
                <w:szCs w:val="18"/>
              </w:rPr>
            </w:pPr>
            <w:r>
              <w:rPr>
                <w:rFonts w:cs="Times New Roman"/>
                <w:sz w:val="18"/>
                <w:szCs w:val="18"/>
              </w:rPr>
              <w:t>工程名称</w:t>
            </w:r>
          </w:p>
        </w:tc>
        <w:tc>
          <w:tcPr>
            <w:tcW w:w="4260" w:type="dxa"/>
            <w:gridSpan w:val="3"/>
            <w:tcBorders>
              <w:tl2br w:val="nil"/>
              <w:tr2bl w:val="nil"/>
            </w:tcBorders>
            <w:vAlign w:val="center"/>
          </w:tcPr>
          <w:p>
            <w:pPr>
              <w:snapToGrid w:val="0"/>
              <w:jc w:val="center"/>
              <w:rPr>
                <w:rFonts w:cs="Times New Roman"/>
                <w:sz w:val="18"/>
                <w:szCs w:val="18"/>
              </w:rPr>
            </w:pPr>
          </w:p>
        </w:tc>
        <w:tc>
          <w:tcPr>
            <w:tcW w:w="1419" w:type="dxa"/>
            <w:gridSpan w:val="2"/>
            <w:tcBorders>
              <w:tl2br w:val="nil"/>
              <w:tr2bl w:val="nil"/>
            </w:tcBorders>
            <w:vAlign w:val="center"/>
          </w:tcPr>
          <w:p>
            <w:pPr>
              <w:snapToGrid w:val="0"/>
              <w:jc w:val="center"/>
              <w:rPr>
                <w:rFonts w:cs="Times New Roman"/>
                <w:sz w:val="18"/>
                <w:szCs w:val="18"/>
              </w:rPr>
            </w:pPr>
            <w:r>
              <w:rPr>
                <w:rFonts w:cs="Times New Roman"/>
                <w:sz w:val="18"/>
                <w:szCs w:val="18"/>
              </w:rPr>
              <w:t>分项工程</w:t>
            </w:r>
          </w:p>
          <w:p>
            <w:pPr>
              <w:snapToGrid w:val="0"/>
              <w:jc w:val="center"/>
              <w:rPr>
                <w:rFonts w:cs="Times New Roman"/>
                <w:sz w:val="18"/>
                <w:szCs w:val="18"/>
              </w:rPr>
            </w:pPr>
            <w:r>
              <w:rPr>
                <w:rFonts w:cs="Times New Roman"/>
                <w:sz w:val="18"/>
                <w:szCs w:val="18"/>
              </w:rPr>
              <w:t>数量</w:t>
            </w:r>
          </w:p>
        </w:tc>
        <w:tc>
          <w:tcPr>
            <w:tcW w:w="1420"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施工单位</w:t>
            </w:r>
          </w:p>
        </w:tc>
        <w:tc>
          <w:tcPr>
            <w:tcW w:w="1420" w:type="dxa"/>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r>
              <w:rPr>
                <w:rFonts w:cs="Times New Roman"/>
                <w:sz w:val="18"/>
                <w:szCs w:val="18"/>
              </w:rPr>
              <w:t>项目负责人</w:t>
            </w:r>
          </w:p>
        </w:tc>
        <w:tc>
          <w:tcPr>
            <w:tcW w:w="1417" w:type="dxa"/>
            <w:tcBorders>
              <w:tl2br w:val="nil"/>
              <w:tr2bl w:val="nil"/>
            </w:tcBorders>
            <w:vAlign w:val="center"/>
          </w:tcPr>
          <w:p>
            <w:pPr>
              <w:snapToGrid w:val="0"/>
              <w:jc w:val="center"/>
              <w:rPr>
                <w:rFonts w:cs="Times New Roman"/>
                <w:sz w:val="18"/>
                <w:szCs w:val="18"/>
              </w:rPr>
            </w:pPr>
          </w:p>
        </w:tc>
        <w:tc>
          <w:tcPr>
            <w:tcW w:w="1417" w:type="dxa"/>
            <w:gridSpan w:val="2"/>
            <w:tcBorders>
              <w:tl2br w:val="nil"/>
              <w:tr2bl w:val="nil"/>
            </w:tcBorders>
            <w:vAlign w:val="center"/>
          </w:tcPr>
          <w:p>
            <w:pPr>
              <w:snapToGrid w:val="0"/>
              <w:jc w:val="center"/>
              <w:rPr>
                <w:rFonts w:cs="Times New Roman"/>
                <w:sz w:val="18"/>
                <w:szCs w:val="18"/>
              </w:rPr>
            </w:pPr>
            <w:r>
              <w:rPr>
                <w:rFonts w:cs="Times New Roman"/>
                <w:sz w:val="18"/>
                <w:szCs w:val="18"/>
              </w:rPr>
              <w:t>技术（质量）</w:t>
            </w:r>
          </w:p>
          <w:p>
            <w:pPr>
              <w:snapToGrid w:val="0"/>
              <w:jc w:val="center"/>
              <w:rPr>
                <w:rFonts w:cs="Times New Roman"/>
                <w:sz w:val="18"/>
                <w:szCs w:val="18"/>
              </w:rPr>
            </w:pPr>
            <w:r>
              <w:rPr>
                <w:rFonts w:cs="Times New Roman"/>
                <w:sz w:val="18"/>
                <w:szCs w:val="18"/>
              </w:rPr>
              <w:t>负责人</w:t>
            </w: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分包单位</w:t>
            </w:r>
          </w:p>
        </w:tc>
        <w:tc>
          <w:tcPr>
            <w:tcW w:w="1422" w:type="dxa"/>
            <w:tcBorders>
              <w:tl2br w:val="nil"/>
              <w:tr2bl w:val="nil"/>
            </w:tcBorders>
            <w:vAlign w:val="center"/>
          </w:tcPr>
          <w:p>
            <w:pPr>
              <w:snapToGrid w:val="0"/>
              <w:jc w:val="center"/>
              <w:rPr>
                <w:rFonts w:cs="Times New Roman"/>
                <w:sz w:val="18"/>
                <w:szCs w:val="18"/>
              </w:rPr>
            </w:pPr>
          </w:p>
        </w:tc>
        <w:tc>
          <w:tcPr>
            <w:tcW w:w="1419" w:type="dxa"/>
            <w:tcBorders>
              <w:tl2br w:val="nil"/>
              <w:tr2bl w:val="nil"/>
            </w:tcBorders>
            <w:vAlign w:val="center"/>
          </w:tcPr>
          <w:p>
            <w:pPr>
              <w:snapToGrid w:val="0"/>
              <w:jc w:val="center"/>
              <w:rPr>
                <w:rFonts w:cs="Times New Roman"/>
                <w:sz w:val="18"/>
                <w:szCs w:val="18"/>
              </w:rPr>
            </w:pPr>
            <w:r>
              <w:rPr>
                <w:rFonts w:cs="Times New Roman"/>
                <w:sz w:val="18"/>
                <w:szCs w:val="18"/>
              </w:rPr>
              <w:t>分包单位</w:t>
            </w:r>
          </w:p>
          <w:p>
            <w:pPr>
              <w:snapToGrid w:val="0"/>
              <w:jc w:val="center"/>
              <w:rPr>
                <w:rFonts w:cs="Times New Roman"/>
                <w:sz w:val="18"/>
                <w:szCs w:val="18"/>
              </w:rPr>
            </w:pPr>
            <w:r>
              <w:rPr>
                <w:rFonts w:cs="Times New Roman"/>
                <w:sz w:val="18"/>
                <w:szCs w:val="18"/>
              </w:rPr>
              <w:t>项目负责人</w:t>
            </w:r>
          </w:p>
        </w:tc>
        <w:tc>
          <w:tcPr>
            <w:tcW w:w="1417" w:type="dxa"/>
            <w:tcBorders>
              <w:tl2br w:val="nil"/>
              <w:tr2bl w:val="nil"/>
            </w:tcBorders>
            <w:vAlign w:val="center"/>
          </w:tcPr>
          <w:p>
            <w:pPr>
              <w:snapToGrid w:val="0"/>
              <w:jc w:val="center"/>
              <w:rPr>
                <w:rFonts w:cs="Times New Roman"/>
                <w:sz w:val="18"/>
                <w:szCs w:val="18"/>
              </w:rPr>
            </w:pPr>
          </w:p>
        </w:tc>
        <w:tc>
          <w:tcPr>
            <w:tcW w:w="1417" w:type="dxa"/>
            <w:gridSpan w:val="2"/>
            <w:tcBorders>
              <w:tl2br w:val="nil"/>
              <w:tr2bl w:val="nil"/>
            </w:tcBorders>
            <w:vAlign w:val="center"/>
          </w:tcPr>
          <w:p>
            <w:pPr>
              <w:snapToGrid w:val="0"/>
              <w:jc w:val="center"/>
              <w:rPr>
                <w:rFonts w:cs="Times New Roman"/>
                <w:sz w:val="18"/>
                <w:szCs w:val="18"/>
              </w:rPr>
            </w:pPr>
            <w:r>
              <w:rPr>
                <w:rFonts w:cs="Times New Roman"/>
                <w:sz w:val="18"/>
                <w:szCs w:val="18"/>
              </w:rPr>
              <w:t>分包内容</w:t>
            </w:r>
          </w:p>
        </w:tc>
        <w:tc>
          <w:tcPr>
            <w:tcW w:w="1424" w:type="dxa"/>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序号</w:t>
            </w:r>
          </w:p>
        </w:tc>
        <w:tc>
          <w:tcPr>
            <w:tcW w:w="2411" w:type="dxa"/>
            <w:gridSpan w:val="2"/>
            <w:tcBorders>
              <w:tl2br w:val="nil"/>
              <w:tr2bl w:val="nil"/>
            </w:tcBorders>
            <w:vAlign w:val="center"/>
          </w:tcPr>
          <w:p>
            <w:pPr>
              <w:snapToGrid w:val="0"/>
              <w:jc w:val="center"/>
              <w:rPr>
                <w:rFonts w:cs="Times New Roman"/>
                <w:sz w:val="18"/>
                <w:szCs w:val="18"/>
              </w:rPr>
            </w:pPr>
            <w:r>
              <w:rPr>
                <w:rFonts w:cs="Times New Roman"/>
                <w:sz w:val="18"/>
                <w:szCs w:val="18"/>
              </w:rPr>
              <w:t>分项工程名称</w:t>
            </w:r>
          </w:p>
        </w:tc>
        <w:tc>
          <w:tcPr>
            <w:tcW w:w="1421" w:type="dxa"/>
            <w:tcBorders>
              <w:tl2br w:val="nil"/>
              <w:tr2bl w:val="nil"/>
            </w:tcBorders>
            <w:vAlign w:val="center"/>
          </w:tcPr>
          <w:p>
            <w:pPr>
              <w:snapToGrid w:val="0"/>
              <w:jc w:val="center"/>
              <w:rPr>
                <w:rFonts w:cs="Times New Roman"/>
                <w:sz w:val="18"/>
                <w:szCs w:val="18"/>
              </w:rPr>
            </w:pPr>
            <w:r>
              <w:rPr>
                <w:rFonts w:cs="Times New Roman"/>
                <w:sz w:val="18"/>
                <w:szCs w:val="18"/>
              </w:rPr>
              <w:t>检验批</w:t>
            </w:r>
          </w:p>
          <w:p>
            <w:pPr>
              <w:snapToGrid w:val="0"/>
              <w:jc w:val="center"/>
              <w:rPr>
                <w:rFonts w:cs="Times New Roman"/>
                <w:sz w:val="18"/>
                <w:szCs w:val="18"/>
              </w:rPr>
            </w:pPr>
            <w:r>
              <w:rPr>
                <w:rFonts w:cs="Times New Roman"/>
                <w:sz w:val="18"/>
                <w:szCs w:val="18"/>
              </w:rPr>
              <w:t>数量</w:t>
            </w:r>
          </w:p>
        </w:tc>
        <w:tc>
          <w:tcPr>
            <w:tcW w:w="2125" w:type="dxa"/>
            <w:gridSpan w:val="2"/>
            <w:tcBorders>
              <w:tl2br w:val="nil"/>
              <w:tr2bl w:val="nil"/>
            </w:tcBorders>
            <w:vAlign w:val="center"/>
          </w:tcPr>
          <w:p>
            <w:pPr>
              <w:snapToGrid w:val="0"/>
              <w:jc w:val="center"/>
              <w:rPr>
                <w:rFonts w:cs="Times New Roman"/>
                <w:sz w:val="18"/>
                <w:szCs w:val="18"/>
              </w:rPr>
            </w:pPr>
            <w:r>
              <w:rPr>
                <w:rFonts w:cs="Times New Roman"/>
                <w:sz w:val="18"/>
                <w:szCs w:val="18"/>
              </w:rPr>
              <w:t>施工单位检查结果</w:t>
            </w:r>
          </w:p>
        </w:tc>
        <w:tc>
          <w:tcPr>
            <w:tcW w:w="2133" w:type="dxa"/>
            <w:gridSpan w:val="2"/>
            <w:tcBorders>
              <w:tl2br w:val="nil"/>
              <w:tr2bl w:val="nil"/>
            </w:tcBorders>
            <w:vAlign w:val="center"/>
          </w:tcPr>
          <w:p>
            <w:pPr>
              <w:snapToGrid w:val="0"/>
              <w:jc w:val="center"/>
              <w:rPr>
                <w:rFonts w:cs="Times New Roman"/>
                <w:sz w:val="18"/>
                <w:szCs w:val="18"/>
              </w:rPr>
            </w:pPr>
            <w:r>
              <w:rPr>
                <w:rFonts w:cs="Times New Roman"/>
                <w:sz w:val="18"/>
                <w:szCs w:val="18"/>
              </w:rPr>
              <w:t>监理单位验收结论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2</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3</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4</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5</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6</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7</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8</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9</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10</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11</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12</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dxa"/>
            <w:tcBorders>
              <w:tl2br w:val="nil"/>
              <w:tr2bl w:val="nil"/>
            </w:tcBorders>
            <w:vAlign w:val="center"/>
          </w:tcPr>
          <w:p>
            <w:pPr>
              <w:snapToGrid w:val="0"/>
              <w:jc w:val="center"/>
              <w:rPr>
                <w:rFonts w:cs="Times New Roman"/>
                <w:sz w:val="18"/>
                <w:szCs w:val="18"/>
              </w:rPr>
            </w:pPr>
            <w:r>
              <w:rPr>
                <w:rFonts w:cs="Times New Roman"/>
                <w:sz w:val="18"/>
                <w:szCs w:val="18"/>
              </w:rPr>
              <w:t>13</w:t>
            </w:r>
          </w:p>
        </w:tc>
        <w:tc>
          <w:tcPr>
            <w:tcW w:w="2411" w:type="dxa"/>
            <w:gridSpan w:val="2"/>
            <w:tcBorders>
              <w:tl2br w:val="nil"/>
              <w:tr2bl w:val="nil"/>
            </w:tcBorders>
            <w:vAlign w:val="center"/>
          </w:tcPr>
          <w:p>
            <w:pPr>
              <w:snapToGrid w:val="0"/>
              <w:jc w:val="center"/>
              <w:rPr>
                <w:rFonts w:cs="Times New Roman"/>
                <w:sz w:val="18"/>
                <w:szCs w:val="18"/>
              </w:rPr>
            </w:pPr>
          </w:p>
        </w:tc>
        <w:tc>
          <w:tcPr>
            <w:tcW w:w="1421" w:type="dxa"/>
            <w:tcBorders>
              <w:tl2br w:val="nil"/>
              <w:tr2bl w:val="nil"/>
            </w:tcBorders>
            <w:vAlign w:val="center"/>
          </w:tcPr>
          <w:p>
            <w:pPr>
              <w:snapToGrid w:val="0"/>
              <w:jc w:val="center"/>
              <w:rPr>
                <w:rFonts w:cs="Times New Roman"/>
                <w:sz w:val="18"/>
                <w:szCs w:val="18"/>
              </w:rPr>
            </w:pPr>
          </w:p>
        </w:tc>
        <w:tc>
          <w:tcPr>
            <w:tcW w:w="2125" w:type="dxa"/>
            <w:gridSpan w:val="2"/>
            <w:tcBorders>
              <w:tl2br w:val="nil"/>
              <w:tr2bl w:val="nil"/>
            </w:tcBorders>
            <w:vAlign w:val="center"/>
          </w:tcPr>
          <w:p>
            <w:pPr>
              <w:snapToGrid w:val="0"/>
              <w:jc w:val="center"/>
              <w:rPr>
                <w:rFonts w:cs="Times New Roman"/>
                <w:sz w:val="18"/>
                <w:szCs w:val="18"/>
              </w:rPr>
            </w:pPr>
          </w:p>
        </w:tc>
        <w:tc>
          <w:tcPr>
            <w:tcW w:w="2133" w:type="dxa"/>
            <w:gridSpan w:val="2"/>
            <w:tcBorders>
              <w:tl2br w:val="nil"/>
              <w:tr2bl w:val="nil"/>
            </w:tcBorders>
            <w:vAlign w:val="center"/>
          </w:tcPr>
          <w:p>
            <w:pPr>
              <w:snapToGrid w:val="0"/>
              <w:jc w:val="center"/>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256" w:type="dxa"/>
            <w:gridSpan w:val="4"/>
            <w:tcBorders>
              <w:tl2br w:val="nil"/>
              <w:tr2bl w:val="nil"/>
            </w:tcBorders>
            <w:vAlign w:val="center"/>
          </w:tcPr>
          <w:p>
            <w:pPr>
              <w:snapToGrid w:val="0"/>
              <w:jc w:val="center"/>
              <w:rPr>
                <w:rFonts w:cs="Times New Roman"/>
                <w:sz w:val="18"/>
                <w:szCs w:val="18"/>
              </w:rPr>
            </w:pPr>
            <w:r>
              <w:rPr>
                <w:rFonts w:cs="Times New Roman"/>
                <w:sz w:val="18"/>
                <w:szCs w:val="18"/>
              </w:rPr>
              <w:t>质量控制资料</w:t>
            </w:r>
          </w:p>
        </w:tc>
        <w:tc>
          <w:tcPr>
            <w:tcW w:w="4258" w:type="dxa"/>
            <w:gridSpan w:val="4"/>
            <w:tcBorders>
              <w:tl2br w:val="nil"/>
              <w:tr2bl w:val="nil"/>
            </w:tcBorders>
          </w:tcPr>
          <w:p>
            <w:pPr>
              <w:snapToGrid w:val="0"/>
              <w:jc w:val="both"/>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256" w:type="dxa"/>
            <w:gridSpan w:val="4"/>
            <w:tcBorders>
              <w:tl2br w:val="nil"/>
              <w:tr2bl w:val="nil"/>
            </w:tcBorders>
            <w:vAlign w:val="center"/>
          </w:tcPr>
          <w:p>
            <w:pPr>
              <w:snapToGrid w:val="0"/>
              <w:jc w:val="center"/>
              <w:rPr>
                <w:rFonts w:cs="Times New Roman"/>
                <w:sz w:val="18"/>
                <w:szCs w:val="18"/>
              </w:rPr>
            </w:pPr>
            <w:r>
              <w:rPr>
                <w:rFonts w:cs="Times New Roman"/>
                <w:sz w:val="18"/>
                <w:szCs w:val="18"/>
              </w:rPr>
              <w:t>观感质量检验结果</w:t>
            </w:r>
          </w:p>
        </w:tc>
        <w:tc>
          <w:tcPr>
            <w:tcW w:w="4258" w:type="dxa"/>
            <w:gridSpan w:val="4"/>
            <w:tcBorders>
              <w:tl2br w:val="nil"/>
              <w:tr2bl w:val="nil"/>
            </w:tcBorders>
          </w:tcPr>
          <w:p>
            <w:pPr>
              <w:snapToGrid w:val="0"/>
              <w:jc w:val="both"/>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415" w:type="dxa"/>
            <w:gridSpan w:val="2"/>
            <w:tcBorders>
              <w:tl2br w:val="nil"/>
              <w:tr2bl w:val="nil"/>
            </w:tcBorders>
            <w:vAlign w:val="center"/>
          </w:tcPr>
          <w:p>
            <w:pPr>
              <w:snapToGrid w:val="0"/>
              <w:jc w:val="center"/>
              <w:rPr>
                <w:rFonts w:cs="Times New Roman"/>
                <w:sz w:val="18"/>
                <w:szCs w:val="18"/>
              </w:rPr>
            </w:pPr>
            <w:r>
              <w:rPr>
                <w:rFonts w:cs="Times New Roman"/>
                <w:sz w:val="18"/>
                <w:szCs w:val="18"/>
              </w:rPr>
              <w:t>综合验收</w:t>
            </w:r>
          </w:p>
          <w:p>
            <w:pPr>
              <w:snapToGrid w:val="0"/>
              <w:jc w:val="center"/>
              <w:rPr>
                <w:rFonts w:cs="Times New Roman"/>
                <w:sz w:val="18"/>
                <w:szCs w:val="18"/>
              </w:rPr>
            </w:pPr>
            <w:r>
              <w:rPr>
                <w:rFonts w:cs="Times New Roman"/>
                <w:sz w:val="18"/>
                <w:szCs w:val="18"/>
              </w:rPr>
              <w:t>结论</w:t>
            </w:r>
          </w:p>
        </w:tc>
        <w:tc>
          <w:tcPr>
            <w:tcW w:w="7099" w:type="dxa"/>
            <w:gridSpan w:val="6"/>
            <w:tcBorders>
              <w:tl2br w:val="nil"/>
              <w:tr2bl w:val="nil"/>
            </w:tcBorders>
          </w:tcPr>
          <w:p>
            <w:pPr>
              <w:snapToGrid w:val="0"/>
              <w:jc w:val="both"/>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2838" w:type="dxa"/>
            <w:gridSpan w:val="3"/>
            <w:tcBorders>
              <w:tl2br w:val="nil"/>
              <w:tr2bl w:val="nil"/>
            </w:tcBorders>
          </w:tcPr>
          <w:p>
            <w:pPr>
              <w:snapToGrid w:val="0"/>
              <w:jc w:val="both"/>
              <w:rPr>
                <w:rFonts w:cs="Times New Roman"/>
                <w:sz w:val="18"/>
                <w:szCs w:val="18"/>
              </w:rPr>
            </w:pPr>
            <w:r>
              <w:rPr>
                <w:rFonts w:cs="Times New Roman"/>
                <w:sz w:val="18"/>
                <w:szCs w:val="18"/>
              </w:rPr>
              <w:t>施工单位</w:t>
            </w:r>
          </w:p>
          <w:p>
            <w:pPr>
              <w:snapToGrid w:val="0"/>
              <w:jc w:val="both"/>
              <w:rPr>
                <w:rFonts w:cs="Times New Roman"/>
                <w:sz w:val="18"/>
                <w:szCs w:val="18"/>
              </w:rPr>
            </w:pPr>
            <w:r>
              <w:rPr>
                <w:rFonts w:cs="Times New Roman"/>
                <w:sz w:val="18"/>
                <w:szCs w:val="18"/>
              </w:rPr>
              <w:t>项目负责人：</w:t>
            </w:r>
          </w:p>
          <w:p>
            <w:pPr>
              <w:snapToGrid w:val="0"/>
              <w:jc w:val="both"/>
              <w:rPr>
                <w:rFonts w:cs="Times New Roman"/>
                <w:sz w:val="18"/>
                <w:szCs w:val="18"/>
              </w:rPr>
            </w:pPr>
          </w:p>
          <w:p>
            <w:pPr>
              <w:snapToGrid w:val="0"/>
              <w:jc w:val="both"/>
              <w:rPr>
                <w:rFonts w:cs="Times New Roman"/>
                <w:sz w:val="18"/>
                <w:szCs w:val="18"/>
              </w:rPr>
            </w:pPr>
            <w:r>
              <w:rPr>
                <w:rFonts w:cs="Times New Roman"/>
                <w:sz w:val="18"/>
                <w:szCs w:val="18"/>
              </w:rPr>
              <w:t xml:space="preserve">                年   月   日</w:t>
            </w:r>
          </w:p>
        </w:tc>
        <w:tc>
          <w:tcPr>
            <w:tcW w:w="2838" w:type="dxa"/>
            <w:gridSpan w:val="2"/>
            <w:tcBorders>
              <w:tl2br w:val="nil"/>
              <w:tr2bl w:val="nil"/>
            </w:tcBorders>
          </w:tcPr>
          <w:p>
            <w:pPr>
              <w:snapToGrid w:val="0"/>
              <w:jc w:val="both"/>
              <w:rPr>
                <w:rFonts w:cs="Times New Roman"/>
                <w:sz w:val="18"/>
                <w:szCs w:val="18"/>
              </w:rPr>
            </w:pPr>
            <w:r>
              <w:rPr>
                <w:rFonts w:cs="Times New Roman"/>
                <w:sz w:val="18"/>
                <w:szCs w:val="18"/>
              </w:rPr>
              <w:t>设计单位</w:t>
            </w:r>
          </w:p>
          <w:p>
            <w:pPr>
              <w:snapToGrid w:val="0"/>
              <w:jc w:val="both"/>
              <w:rPr>
                <w:rFonts w:cs="Times New Roman"/>
                <w:sz w:val="18"/>
                <w:szCs w:val="18"/>
              </w:rPr>
            </w:pPr>
            <w:r>
              <w:rPr>
                <w:rFonts w:cs="Times New Roman"/>
                <w:sz w:val="18"/>
                <w:szCs w:val="18"/>
              </w:rPr>
              <w:t>项目负责人：</w:t>
            </w:r>
          </w:p>
          <w:p>
            <w:pPr>
              <w:snapToGrid w:val="0"/>
              <w:jc w:val="both"/>
              <w:rPr>
                <w:rFonts w:cs="Times New Roman"/>
                <w:sz w:val="18"/>
                <w:szCs w:val="18"/>
              </w:rPr>
            </w:pPr>
          </w:p>
          <w:p>
            <w:pPr>
              <w:snapToGrid w:val="0"/>
              <w:jc w:val="both"/>
              <w:rPr>
                <w:rFonts w:cs="Times New Roman"/>
                <w:sz w:val="18"/>
                <w:szCs w:val="18"/>
              </w:rPr>
            </w:pPr>
            <w:r>
              <w:rPr>
                <w:rFonts w:cs="Times New Roman"/>
                <w:sz w:val="18"/>
                <w:szCs w:val="18"/>
              </w:rPr>
              <w:t xml:space="preserve">                年   月   日</w:t>
            </w:r>
          </w:p>
        </w:tc>
        <w:tc>
          <w:tcPr>
            <w:tcW w:w="2838" w:type="dxa"/>
            <w:gridSpan w:val="3"/>
            <w:tcBorders>
              <w:tl2br w:val="nil"/>
              <w:tr2bl w:val="nil"/>
            </w:tcBorders>
          </w:tcPr>
          <w:p>
            <w:pPr>
              <w:snapToGrid w:val="0"/>
              <w:jc w:val="both"/>
              <w:rPr>
                <w:rFonts w:cs="Times New Roman"/>
                <w:sz w:val="18"/>
                <w:szCs w:val="18"/>
              </w:rPr>
            </w:pPr>
            <w:r>
              <w:rPr>
                <w:rFonts w:cs="Times New Roman"/>
                <w:sz w:val="18"/>
                <w:szCs w:val="18"/>
              </w:rPr>
              <w:t>监理单位</w:t>
            </w:r>
          </w:p>
          <w:p>
            <w:pPr>
              <w:snapToGrid w:val="0"/>
              <w:jc w:val="both"/>
              <w:rPr>
                <w:rFonts w:cs="Times New Roman"/>
                <w:sz w:val="18"/>
                <w:szCs w:val="18"/>
              </w:rPr>
            </w:pPr>
            <w:r>
              <w:rPr>
                <w:rFonts w:cs="Times New Roman"/>
                <w:sz w:val="18"/>
                <w:szCs w:val="18"/>
              </w:rPr>
              <w:t>总监理工程师：</w:t>
            </w:r>
          </w:p>
          <w:p>
            <w:pPr>
              <w:snapToGrid w:val="0"/>
              <w:jc w:val="both"/>
              <w:rPr>
                <w:rFonts w:cs="Times New Roman"/>
                <w:sz w:val="18"/>
                <w:szCs w:val="18"/>
              </w:rPr>
            </w:pPr>
          </w:p>
          <w:p>
            <w:pPr>
              <w:snapToGrid w:val="0"/>
              <w:jc w:val="both"/>
              <w:rPr>
                <w:rFonts w:cs="Times New Roman"/>
                <w:sz w:val="18"/>
                <w:szCs w:val="18"/>
              </w:rPr>
            </w:pPr>
            <w:r>
              <w:rPr>
                <w:rFonts w:cs="Times New Roman"/>
                <w:sz w:val="18"/>
                <w:szCs w:val="18"/>
              </w:rPr>
              <w:t xml:space="preserve">                年   月   日</w:t>
            </w:r>
          </w:p>
        </w:tc>
      </w:tr>
    </w:tbl>
    <w:p>
      <w:pPr>
        <w:snapToGrid w:val="0"/>
        <w:ind w:firstLine="8031" w:firstLineChars="4000"/>
        <w:rPr>
          <w:rFonts w:cs="Times New Roman"/>
          <w:b/>
          <w:bCs/>
          <w:sz w:val="20"/>
        </w:rPr>
      </w:pPr>
    </w:p>
    <w:p>
      <w:pPr>
        <w:snapToGrid w:val="0"/>
        <w:rPr>
          <w:rFonts w:cs="Times New Roman"/>
        </w:rPr>
      </w:pPr>
    </w:p>
    <w:p>
      <w:pPr>
        <w:snapToGrid w:val="0"/>
        <w:rPr>
          <w:rFonts w:cs="Times New Roman"/>
        </w:rPr>
      </w:pPr>
    </w:p>
    <w:p>
      <w:pPr>
        <w:snapToGrid w:val="0"/>
        <w:rPr>
          <w:rFonts w:cs="Times New Roman"/>
        </w:rPr>
      </w:pPr>
    </w:p>
    <w:p>
      <w:pPr>
        <w:snapToGrid w:val="0"/>
        <w:rPr>
          <w:rFonts w:cs="Times New Roman"/>
        </w:rPr>
      </w:pPr>
    </w:p>
    <w:p>
      <w:pPr>
        <w:pStyle w:val="3"/>
        <w:snapToGrid w:val="0"/>
        <w:spacing w:before="0" w:after="0"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bookmarkStart w:id="124" w:name="_Toc18500"/>
      <w:bookmarkStart w:id="125" w:name="_Toc25963"/>
    </w:p>
    <w:p>
      <w:pPr>
        <w:pStyle w:val="3"/>
        <w:snapToGrid w:val="0"/>
        <w:spacing w:before="0" w:after="0" w:line="360" w:lineRule="auto"/>
        <w:rPr>
          <w:rFonts w:ascii="Times New Roman" w:hAnsi="Times New Roman" w:cs="Times New Roman"/>
        </w:rPr>
      </w:pPr>
      <w:bookmarkStart w:id="126" w:name="_Toc415"/>
      <w:r>
        <w:rPr>
          <w:rFonts w:ascii="Times New Roman" w:hAnsi="Times New Roman" w:cs="Times New Roman"/>
        </w:rPr>
        <w:t>本标准用词说明</w:t>
      </w:r>
      <w:bookmarkEnd w:id="120"/>
      <w:bookmarkEnd w:id="124"/>
      <w:bookmarkEnd w:id="125"/>
      <w:bookmarkEnd w:id="126"/>
    </w:p>
    <w:p>
      <w:pPr>
        <w:snapToGrid w:val="0"/>
        <w:rPr>
          <w:rFonts w:cs="Times New Roman"/>
        </w:rPr>
      </w:pPr>
      <w:r>
        <w:rPr>
          <w:rFonts w:cs="Times New Roman"/>
        </w:rPr>
        <w:t>1  为便于在执行本标准条文时区别对待，对要求严格程度不同的用词说明如下：</w:t>
      </w:r>
    </w:p>
    <w:p>
      <w:pPr>
        <w:snapToGrid w:val="0"/>
        <w:rPr>
          <w:rFonts w:cs="Times New Roman"/>
        </w:rPr>
      </w:pPr>
      <w:r>
        <w:rPr>
          <w:rFonts w:cs="Times New Roman"/>
        </w:rPr>
        <w:t>    1)表示很严格，非这样做不可的：</w:t>
      </w:r>
    </w:p>
    <w:p>
      <w:pPr>
        <w:snapToGrid w:val="0"/>
        <w:rPr>
          <w:rFonts w:cs="Times New Roman"/>
        </w:rPr>
      </w:pPr>
      <w:r>
        <w:rPr>
          <w:rFonts w:cs="Times New Roman"/>
        </w:rPr>
        <w:t>      正面词采用“必须”，反面词采用“严禁”；</w:t>
      </w:r>
    </w:p>
    <w:p>
      <w:pPr>
        <w:snapToGrid w:val="0"/>
        <w:rPr>
          <w:rFonts w:cs="Times New Roman"/>
        </w:rPr>
      </w:pPr>
      <w:r>
        <w:rPr>
          <w:rFonts w:cs="Times New Roman"/>
        </w:rPr>
        <w:t>    2)表示严格，在正常情况下均应这样做的：</w:t>
      </w:r>
    </w:p>
    <w:p>
      <w:pPr>
        <w:snapToGrid w:val="0"/>
        <w:rPr>
          <w:rFonts w:cs="Times New Roman"/>
        </w:rPr>
      </w:pPr>
      <w:r>
        <w:rPr>
          <w:rFonts w:cs="Times New Roman"/>
        </w:rPr>
        <w:t>      正面词采用“应”，反面词采用“不应”或“不得”；</w:t>
      </w:r>
    </w:p>
    <w:p>
      <w:pPr>
        <w:snapToGrid w:val="0"/>
        <w:rPr>
          <w:rFonts w:cs="Times New Roman"/>
        </w:rPr>
      </w:pPr>
      <w:r>
        <w:rPr>
          <w:rFonts w:cs="Times New Roman"/>
        </w:rPr>
        <w:t>    3)表示允许稍有选择，在条件许可时首先这样做的：</w:t>
      </w:r>
    </w:p>
    <w:p>
      <w:pPr>
        <w:snapToGrid w:val="0"/>
        <w:rPr>
          <w:rFonts w:cs="Times New Roman"/>
        </w:rPr>
      </w:pPr>
      <w:r>
        <w:rPr>
          <w:rFonts w:cs="Times New Roman"/>
        </w:rPr>
        <w:t>      正面词采用“宜”，反面词采用“不宜”；</w:t>
      </w:r>
    </w:p>
    <w:p>
      <w:pPr>
        <w:snapToGrid w:val="0"/>
        <w:rPr>
          <w:rFonts w:cs="Times New Roman"/>
        </w:rPr>
      </w:pPr>
      <w:r>
        <w:rPr>
          <w:rFonts w:cs="Times New Roman"/>
        </w:rPr>
        <w:t>    4)表示有选择，在一定条件下可以这样做的，采用“可”。</w:t>
      </w:r>
    </w:p>
    <w:p>
      <w:pPr>
        <w:snapToGrid w:val="0"/>
        <w:rPr>
          <w:rFonts w:cs="Times New Roman"/>
        </w:rPr>
      </w:pPr>
      <w:r>
        <w:rPr>
          <w:rFonts w:cs="Times New Roman"/>
        </w:rPr>
        <w:t>2  条文中指明应按其他有关标准执行的写法为：“应符合……的规定”或“应按……执行”。</w:t>
      </w:r>
    </w:p>
    <w:p>
      <w:pPr>
        <w:snapToGrid w:val="0"/>
        <w:rPr>
          <w:rFonts w:cs="Times New Roman"/>
        </w:rPr>
      </w:pPr>
    </w:p>
    <w:p>
      <w:pPr>
        <w:snapToGrid w:val="0"/>
        <w:rPr>
          <w:rFonts w:cs="Times New Roman"/>
        </w:rPr>
        <w:sectPr>
          <w:pgSz w:w="11906" w:h="16838"/>
          <w:pgMar w:top="1440" w:right="1800" w:bottom="1440" w:left="1800" w:header="851" w:footer="992" w:gutter="0"/>
          <w:cols w:space="425" w:num="1"/>
          <w:docGrid w:type="lines" w:linePitch="312" w:charSpace="0"/>
        </w:sectPr>
      </w:pPr>
    </w:p>
    <w:p>
      <w:pPr>
        <w:pStyle w:val="3"/>
        <w:snapToGrid w:val="0"/>
        <w:spacing w:before="0" w:after="0" w:line="360" w:lineRule="auto"/>
        <w:rPr>
          <w:rFonts w:ascii="Times New Roman" w:hAnsi="Times New Roman" w:cs="Times New Roman"/>
        </w:rPr>
      </w:pPr>
      <w:bookmarkStart w:id="127" w:name="_Toc10636"/>
      <w:bookmarkStart w:id="128" w:name="_Toc20562"/>
      <w:bookmarkStart w:id="129" w:name="_Toc8823"/>
      <w:bookmarkStart w:id="130" w:name="_Toc25024"/>
      <w:r>
        <w:rPr>
          <w:rFonts w:ascii="Times New Roman" w:hAnsi="Times New Roman" w:cs="Times New Roman"/>
        </w:rPr>
        <w:t>引用标准名录</w:t>
      </w:r>
      <w:bookmarkEnd w:id="127"/>
      <w:bookmarkEnd w:id="128"/>
      <w:bookmarkEnd w:id="129"/>
      <w:bookmarkEnd w:id="130"/>
    </w:p>
    <w:p>
      <w:r>
        <w:rPr>
          <w:rFonts w:hint="eastAsia"/>
        </w:rPr>
        <w:t>《建筑结构荷载规范》GB 50009</w:t>
      </w:r>
    </w:p>
    <w:p>
      <w:r>
        <w:rPr>
          <w:rFonts w:hint="eastAsia"/>
        </w:rPr>
        <w:t>《混凝土结构设计规范》GB 50010</w:t>
      </w:r>
    </w:p>
    <w:p>
      <w:r>
        <w:rPr>
          <w:rFonts w:hint="eastAsia"/>
        </w:rPr>
        <w:t>《建筑抗震设计规范》GB 50011</w:t>
      </w:r>
    </w:p>
    <w:p>
      <w:r>
        <w:rPr>
          <w:rFonts w:hint="eastAsia"/>
        </w:rPr>
        <w:t>《建筑设计防火规范》GB50016</w:t>
      </w:r>
    </w:p>
    <w:p>
      <w:r>
        <w:rPr>
          <w:rFonts w:hint="eastAsia"/>
        </w:rPr>
        <w:t>《建筑结构可靠性设计统一标准》GB 50068</w:t>
      </w:r>
    </w:p>
    <w:p>
      <w:r>
        <w:rPr>
          <w:rFonts w:hint="eastAsia"/>
        </w:rPr>
        <w:t>《民用建筑隔声设计规范》GB 50118</w:t>
      </w:r>
    </w:p>
    <w:p>
      <w:r>
        <w:rPr>
          <w:rFonts w:hint="eastAsia"/>
        </w:rPr>
        <w:t>《民用建筑热工设计规范》GB 50176</w:t>
      </w:r>
    </w:p>
    <w:p>
      <w:r>
        <w:rPr>
          <w:rFonts w:hint="eastAsia"/>
        </w:rPr>
        <w:t>《钢结构工程施工质量验收标准》GB 50205</w:t>
      </w:r>
    </w:p>
    <w:p>
      <w:r>
        <w:rPr>
          <w:rFonts w:hint="eastAsia"/>
        </w:rPr>
        <w:t>《建筑工程施工质量验收统一标准》GB 50300</w:t>
      </w:r>
    </w:p>
    <w:p>
      <w:r>
        <w:rPr>
          <w:rFonts w:hint="eastAsia"/>
        </w:rPr>
        <w:t>《混凝土结构工程施工规范》GB 50666</w:t>
      </w:r>
    </w:p>
    <w:p>
      <w:r>
        <w:rPr>
          <w:rFonts w:hint="eastAsia"/>
        </w:rPr>
        <w:t>《建筑与市政工程抗震通用规范》GB 55002</w:t>
      </w:r>
    </w:p>
    <w:p>
      <w:r>
        <w:rPr>
          <w:rFonts w:hint="eastAsia"/>
        </w:rPr>
        <w:t>《建筑环境通用规范》GB 55016</w:t>
      </w:r>
    </w:p>
    <w:p>
      <w:r>
        <w:rPr>
          <w:rFonts w:cs="Times New Roman"/>
        </w:rPr>
        <w:t>《建筑与市政工程防水通用规范》GB 55030</w:t>
      </w:r>
    </w:p>
    <w:p>
      <w:r>
        <w:rPr>
          <w:rFonts w:hint="eastAsia"/>
        </w:rPr>
        <w:t>《连续热镀锌和锌合金镀层钢板及钢带》</w:t>
      </w:r>
      <w:r>
        <w:t>GB</w:t>
      </w:r>
      <w:r>
        <w:rPr>
          <w:rFonts w:hint="eastAsia"/>
        </w:rPr>
        <w:t>/</w:t>
      </w:r>
      <w:r>
        <w:t>T 2518</w:t>
      </w:r>
    </w:p>
    <w:p>
      <w:r>
        <w:t>《紧固件机械性能螺栓、螺钉和螺柱》GB/T 3098.1</w:t>
      </w:r>
    </w:p>
    <w:p>
      <w:r>
        <w:rPr>
          <w:rFonts w:hint="eastAsia"/>
        </w:rPr>
        <w:t>《开槽盘头自攻螺钉》GB/T 5282</w:t>
      </w:r>
    </w:p>
    <w:p>
      <w:r>
        <w:rPr>
          <w:rFonts w:hint="eastAsia"/>
        </w:rPr>
        <w:t>《开槽沉头自攻螺钉》GB/T 5283</w:t>
      </w:r>
    </w:p>
    <w:p>
      <w:r>
        <w:rPr>
          <w:rFonts w:hint="eastAsia"/>
        </w:rPr>
        <w:t>《开槽半沉头自攻螺钉》GB/T 5284</w:t>
      </w:r>
    </w:p>
    <w:p>
      <w:r>
        <w:rPr>
          <w:rFonts w:hint="eastAsia"/>
        </w:rPr>
        <w:t>《六角头自攻螺钉》GB/T 5285</w:t>
      </w:r>
    </w:p>
    <w:p>
      <w:r>
        <w:rPr>
          <w:rFonts w:hint="eastAsia"/>
        </w:rPr>
        <w:t>《六角头螺栓C级》GB/T 5780</w:t>
      </w:r>
    </w:p>
    <w:p>
      <w:r>
        <w:rPr>
          <w:rFonts w:hint="eastAsia"/>
        </w:rPr>
        <w:t>《泡沫塑料及橡胶 表观密度的测定》GB/T 6343</w:t>
      </w:r>
    </w:p>
    <w:p>
      <w:pPr>
        <w:rPr>
          <w:rFonts w:cs="Times New Roman"/>
        </w:rPr>
      </w:pPr>
      <w:r>
        <w:rPr>
          <w:rFonts w:cs="Times New Roman"/>
        </w:rPr>
        <w:t>《建筑材料放射性核素限量》GB 6566</w:t>
      </w:r>
    </w:p>
    <w:p>
      <w:r>
        <w:rPr>
          <w:rFonts w:hint="eastAsia" w:cs="Times New Roman"/>
        </w:rPr>
        <w:t>《建筑材料及制品燃烧性能分级》GB 8624</w:t>
      </w:r>
    </w:p>
    <w:p>
      <w:r>
        <w:rPr>
          <w:rFonts w:hint="eastAsia"/>
        </w:rPr>
        <w:t>《硬质泡沫塑料 吸水率规定》GB/T 8810</w:t>
      </w:r>
    </w:p>
    <w:p>
      <w:r>
        <w:rPr>
          <w:rFonts w:hint="eastAsia"/>
        </w:rPr>
        <w:t>《硬质泡沫塑料 尺寸稳定性试验方法》GB/T 8811</w:t>
      </w:r>
    </w:p>
    <w:p>
      <w:r>
        <w:rPr>
          <w:rFonts w:hint="eastAsia"/>
        </w:rPr>
        <w:t>《硬质泡沫塑料 压缩性能的测定》GB/T 8813</w:t>
      </w:r>
    </w:p>
    <w:p>
      <w:pPr>
        <w:rPr>
          <w:rFonts w:cs="Times New Roman"/>
        </w:rPr>
      </w:pPr>
      <w:r>
        <w:rPr>
          <w:rFonts w:cs="Times New Roman"/>
        </w:rPr>
        <w:t>《绝热材料稳态热阻及有关特性的测定 防护热板法》GB/T 10294</w:t>
      </w:r>
    </w:p>
    <w:p>
      <w:pPr>
        <w:rPr>
          <w:rFonts w:cs="Times New Roman"/>
        </w:rPr>
      </w:pPr>
      <w:r>
        <w:rPr>
          <w:rFonts w:cs="Times New Roman"/>
        </w:rPr>
        <w:t>《绝热材料稳态热阻及有关特性的测定 热流计法》GB/T 10295</w:t>
      </w:r>
    </w:p>
    <w:p>
      <w:r>
        <w:rPr>
          <w:rFonts w:hint="eastAsia"/>
        </w:rPr>
        <w:t>《十字槽盘头自钻自攻螺钉》GB/T 15856.1</w:t>
      </w:r>
    </w:p>
    <w:p>
      <w:r>
        <w:rPr>
          <w:rFonts w:hint="eastAsia"/>
        </w:rPr>
        <w:t>《十字槽沉头自钻自攻螺钉》GB/T 15856.2</w:t>
      </w:r>
    </w:p>
    <w:p>
      <w:r>
        <w:rPr>
          <w:rFonts w:hint="eastAsia"/>
        </w:rPr>
        <w:t>《十字槽半沉头自钻自攻螺钉》GB/T 15856.3</w:t>
      </w:r>
    </w:p>
    <w:p>
      <w:r>
        <w:rPr>
          <w:rFonts w:hint="eastAsia"/>
        </w:rPr>
        <w:t>《六角法兰面自钻自攻螺钉》GB/T 15856.4</w:t>
      </w:r>
    </w:p>
    <w:p>
      <w:r>
        <w:rPr>
          <w:rFonts w:hint="eastAsia"/>
        </w:rPr>
        <w:t>《六角凸缘自钻自攻螺钉》GB/T 15856.5</w:t>
      </w:r>
    </w:p>
    <w:p>
      <w:r>
        <w:rPr>
          <w:rFonts w:hint="eastAsia"/>
        </w:rPr>
        <w:t>《射钉》GB/T 18981</w:t>
      </w:r>
    </w:p>
    <w:p>
      <w:r>
        <w:rPr>
          <w:rFonts w:hint="eastAsia"/>
        </w:rPr>
        <w:t>《模塑聚苯板薄抹灰外墙外保温系统材料》GB/T 29906</w:t>
      </w:r>
    </w:p>
    <w:p>
      <w:r>
        <w:rPr>
          <w:rFonts w:hint="eastAsia"/>
        </w:rPr>
        <w:t>《挤塑聚苯板（XPS）薄抹灰外墙外保温系统材料》GB/T 30595</w:t>
      </w:r>
    </w:p>
    <w:p>
      <w:r>
        <w:rPr>
          <w:rFonts w:hint="eastAsia"/>
        </w:rPr>
        <w:t>《冷拔低碳钢丝应用技术规程》JGJ 19</w:t>
      </w:r>
    </w:p>
    <w:p>
      <w:r>
        <w:rPr>
          <w:rFonts w:hint="eastAsia"/>
        </w:rPr>
        <w:t>《钢筋焊接网混凝土结构技术规程》JGJ 114</w:t>
      </w:r>
    </w:p>
    <w:p>
      <w:r>
        <w:rPr>
          <w:rFonts w:hint="eastAsia"/>
        </w:rPr>
        <w:t>《混凝土结构后锚固技术规程》JGJ 145</w:t>
      </w:r>
    </w:p>
    <w:p>
      <w:r>
        <w:t>《外墙外保温工程技术规程》JGJ 149</w:t>
      </w:r>
    </w:p>
    <w:p>
      <w:pPr>
        <w:rPr>
          <w:rFonts w:cs="Times New Roman"/>
        </w:rPr>
      </w:pPr>
      <w:r>
        <w:rPr>
          <w:rFonts w:cs="Times New Roman"/>
        </w:rPr>
        <w:t>《</w:t>
      </w:r>
      <w:r>
        <w:rPr>
          <w:rFonts w:hint="eastAsia" w:cs="Times New Roman"/>
        </w:rPr>
        <w:t>建筑外墙防水工程技术规程</w:t>
      </w:r>
      <w:r>
        <w:rPr>
          <w:rFonts w:cs="Times New Roman"/>
        </w:rPr>
        <w:t>》</w:t>
      </w:r>
      <w:r>
        <w:rPr>
          <w:rFonts w:hint="eastAsia" w:cs="Times New Roman"/>
        </w:rPr>
        <w:t>JGJ/T 235</w:t>
      </w:r>
    </w:p>
    <w:p>
      <w:r>
        <w:rPr>
          <w:rStyle w:val="22"/>
          <w:rFonts w:hint="eastAsia" w:ascii="Times New Roman" w:hAnsi="Times New Roman" w:cs="Times New Roman"/>
          <w:b w:val="0"/>
        </w:rPr>
        <w:t>《住宅室内防水工程技术规范》JGJ 298</w:t>
      </w:r>
    </w:p>
    <w:p>
      <w:r>
        <w:rPr>
          <w:rFonts w:hint="eastAsia"/>
        </w:rPr>
        <w:t>《非结构构件抗震设计规范》JGJ 339</w:t>
      </w:r>
    </w:p>
    <w:p>
      <w:r>
        <w:rPr>
          <w:rFonts w:hint="eastAsia"/>
        </w:rPr>
        <w:t>《混凝土用机械锚栓》JG/T 160</w:t>
      </w:r>
    </w:p>
    <w:p>
      <w:pPr>
        <w:rPr>
          <w:rFonts w:cs="Times New Roman"/>
        </w:rPr>
      </w:pPr>
      <w:r>
        <w:rPr>
          <w:rFonts w:hint="eastAsia" w:cs="Times New Roman"/>
        </w:rPr>
        <w:t>《泡沫混凝土》</w:t>
      </w:r>
      <w:r>
        <w:rPr>
          <w:rFonts w:cs="Times New Roman"/>
        </w:rPr>
        <w:t>JG/T 266</w:t>
      </w:r>
    </w:p>
    <w:p>
      <w:r>
        <w:rPr>
          <w:rFonts w:hint="eastAsia"/>
        </w:rPr>
        <w:t>《硬泡聚氨酯板薄抹灰外墙外保温系统材料》JG/T 402</w:t>
      </w:r>
    </w:p>
    <w:p>
      <w:r>
        <w:rPr>
          <w:rFonts w:hint="eastAsia"/>
        </w:rPr>
        <w:t>《砂浆、混凝土防水剂》JC/T 474</w:t>
      </w:r>
    </w:p>
    <w:p>
      <w:pPr>
        <w:rPr>
          <w:rFonts w:cs="Times New Roman"/>
        </w:rPr>
      </w:pPr>
      <w:r>
        <w:rPr>
          <w:rFonts w:hint="eastAsia" w:cs="Times New Roman"/>
        </w:rPr>
        <w:t>《聚苯乙烯颗粒泡沫混凝土》</w:t>
      </w:r>
      <w:r>
        <w:rPr>
          <w:rFonts w:cs="Times New Roman"/>
        </w:rPr>
        <w:t>JC/T 2458</w:t>
      </w:r>
    </w:p>
    <w:p>
      <w:pPr>
        <w:rPr>
          <w:rFonts w:cs="Times New Roman"/>
        </w:rPr>
      </w:pPr>
      <w:r>
        <w:rPr>
          <w:rFonts w:hint="eastAsia" w:cs="Times New Roman"/>
        </w:rPr>
        <w:t>《机械喷涂抹灰石膏》</w:t>
      </w:r>
      <w:r>
        <w:rPr>
          <w:rFonts w:cs="Times New Roman"/>
        </w:rPr>
        <w:t>JC/T 2474</w:t>
      </w:r>
    </w:p>
    <w:p>
      <w:pPr>
        <w:pStyle w:val="2"/>
      </w:pPr>
      <w:r>
        <w:rPr>
          <w:rFonts w:hint="eastAsia" w:cs="Times New Roman"/>
        </w:rPr>
        <w:t>《镁质凝胶材料制品 硫氧镁平板》T</w:t>
      </w:r>
      <w:r>
        <w:rPr>
          <w:rFonts w:cs="Times New Roman"/>
        </w:rPr>
        <w:t>/</w:t>
      </w:r>
      <w:r>
        <w:rPr>
          <w:rFonts w:hint="eastAsia" w:cs="Times New Roman"/>
        </w:rPr>
        <w:t>CMMA 8-</w:t>
      </w:r>
      <w:r>
        <w:rPr>
          <w:rFonts w:cs="Times New Roman"/>
        </w:rPr>
        <w:t>2</w:t>
      </w:r>
      <w:r>
        <w:rPr>
          <w:rFonts w:hint="eastAsia" w:cs="Times New Roman"/>
        </w:rPr>
        <w:t>020？？</w:t>
      </w:r>
    </w:p>
    <w:p>
      <w:pPr>
        <w:pStyle w:val="2"/>
      </w:pPr>
    </w:p>
    <w:p>
      <w:pPr>
        <w:autoSpaceDE w:val="0"/>
        <w:autoSpaceDN w:val="0"/>
        <w:snapToGrid w:val="0"/>
        <w:jc w:val="center"/>
        <w:textAlignment w:val="bottom"/>
        <w:rPr>
          <w:rFonts w:eastAsia="黑体" w:cs="Times New Roman"/>
          <w:sz w:val="36"/>
          <w:szCs w:val="36"/>
        </w:rPr>
      </w:pPr>
    </w:p>
    <w:p>
      <w:pPr>
        <w:pStyle w:val="2"/>
        <w:rPr>
          <w:rFonts w:eastAsia="黑体" w:cs="Times New Roman"/>
          <w:sz w:val="36"/>
          <w:szCs w:val="36"/>
        </w:rPr>
      </w:pPr>
    </w:p>
    <w:p>
      <w:pPr>
        <w:pStyle w:val="2"/>
        <w:rPr>
          <w:rFonts w:eastAsia="黑体" w:cs="Times New Roman"/>
          <w:sz w:val="36"/>
          <w:szCs w:val="36"/>
        </w:rPr>
      </w:pPr>
    </w:p>
    <w:p>
      <w:pPr>
        <w:pStyle w:val="2"/>
        <w:rPr>
          <w:rFonts w:eastAsia="黑体" w:cs="Times New Roman"/>
          <w:sz w:val="36"/>
          <w:szCs w:val="36"/>
        </w:rPr>
      </w:pPr>
    </w:p>
    <w:p>
      <w:pPr>
        <w:pStyle w:val="2"/>
        <w:rPr>
          <w:rFonts w:eastAsia="黑体" w:cs="Times New Roman"/>
          <w:sz w:val="36"/>
          <w:szCs w:val="36"/>
        </w:rPr>
      </w:pPr>
    </w:p>
    <w:p>
      <w:pPr>
        <w:pStyle w:val="2"/>
        <w:rPr>
          <w:rFonts w:eastAsia="黑体" w:cs="Times New Roman"/>
          <w:sz w:val="36"/>
          <w:szCs w:val="36"/>
        </w:rPr>
      </w:pPr>
    </w:p>
    <w:p>
      <w:pPr>
        <w:autoSpaceDE w:val="0"/>
        <w:autoSpaceDN w:val="0"/>
        <w:snapToGrid w:val="0"/>
        <w:jc w:val="center"/>
        <w:textAlignment w:val="bottom"/>
        <w:rPr>
          <w:rFonts w:eastAsia="黑体" w:cs="Times New Roman"/>
        </w:rPr>
      </w:pPr>
      <w:r>
        <w:rPr>
          <w:rFonts w:eastAsia="黑体" w:cs="Times New Roman"/>
          <w:sz w:val="36"/>
          <w:szCs w:val="36"/>
        </w:rPr>
        <w:t>中国建筑学会标准</w:t>
      </w:r>
    </w:p>
    <w:p>
      <w:pPr>
        <w:autoSpaceDE w:val="0"/>
        <w:autoSpaceDN w:val="0"/>
        <w:snapToGrid w:val="0"/>
        <w:jc w:val="center"/>
        <w:textAlignment w:val="bottom"/>
        <w:rPr>
          <w:rFonts w:cs="Times New Roman"/>
        </w:rPr>
      </w:pPr>
    </w:p>
    <w:p>
      <w:pPr>
        <w:autoSpaceDE w:val="0"/>
        <w:autoSpaceDN w:val="0"/>
        <w:snapToGrid w:val="0"/>
        <w:jc w:val="center"/>
        <w:textAlignment w:val="bottom"/>
        <w:rPr>
          <w:rFonts w:cs="Times New Roman"/>
        </w:rPr>
      </w:pPr>
    </w:p>
    <w:p>
      <w:pPr>
        <w:autoSpaceDE w:val="0"/>
        <w:autoSpaceDN w:val="0"/>
        <w:snapToGrid w:val="0"/>
        <w:jc w:val="center"/>
        <w:textAlignment w:val="bottom"/>
        <w:rPr>
          <w:rFonts w:eastAsia="黑体" w:cs="Times New Roman"/>
          <w:color w:val="000000"/>
          <w:sz w:val="44"/>
          <w:szCs w:val="48"/>
        </w:rPr>
      </w:pPr>
      <w:r>
        <w:rPr>
          <w:rFonts w:eastAsia="黑体" w:cs="Times New Roman"/>
          <w:color w:val="000000"/>
          <w:sz w:val="44"/>
          <w:szCs w:val="48"/>
        </w:rPr>
        <w:t>装配式复合轻质墙体应用技术标准</w:t>
      </w:r>
    </w:p>
    <w:p>
      <w:pPr>
        <w:autoSpaceDE w:val="0"/>
        <w:autoSpaceDN w:val="0"/>
        <w:snapToGrid w:val="0"/>
        <w:jc w:val="center"/>
        <w:textAlignment w:val="bottom"/>
        <w:rPr>
          <w:rFonts w:eastAsia="黑体" w:cs="Times New Roman"/>
          <w:color w:val="000000"/>
          <w:sz w:val="32"/>
          <w:szCs w:val="32"/>
        </w:rPr>
      </w:pPr>
      <w:r>
        <w:rPr>
          <w:rFonts w:eastAsia="黑体" w:cs="Times New Roman"/>
          <w:color w:val="000000"/>
          <w:sz w:val="32"/>
          <w:szCs w:val="32"/>
        </w:rPr>
        <w:t xml:space="preserve">Technical standard for the application of prefabricated composite lightweight wall </w:t>
      </w:r>
    </w:p>
    <w:p>
      <w:pPr>
        <w:autoSpaceDE w:val="0"/>
        <w:autoSpaceDN w:val="0"/>
        <w:snapToGrid w:val="0"/>
        <w:jc w:val="center"/>
        <w:textAlignment w:val="bottom"/>
        <w:rPr>
          <w:rFonts w:cs="Times New Roman"/>
        </w:rPr>
      </w:pPr>
    </w:p>
    <w:p>
      <w:pPr>
        <w:autoSpaceDE w:val="0"/>
        <w:autoSpaceDN w:val="0"/>
        <w:snapToGrid w:val="0"/>
        <w:jc w:val="center"/>
        <w:textAlignment w:val="bottom"/>
        <w:rPr>
          <w:rFonts w:cs="Times New Roman"/>
        </w:rPr>
      </w:pPr>
    </w:p>
    <w:p>
      <w:pPr>
        <w:autoSpaceDE w:val="0"/>
        <w:autoSpaceDN w:val="0"/>
        <w:snapToGrid w:val="0"/>
        <w:jc w:val="center"/>
        <w:textAlignment w:val="bottom"/>
        <w:rPr>
          <w:rFonts w:cs="Times New Roman"/>
          <w:b/>
        </w:rPr>
      </w:pPr>
      <w:r>
        <w:rPr>
          <w:rFonts w:cs="Times New Roman"/>
          <w:b/>
          <w:sz w:val="28"/>
        </w:rPr>
        <w:t>T/ASC XX-202X</w:t>
      </w:r>
    </w:p>
    <w:p>
      <w:pPr>
        <w:widowControl/>
        <w:snapToGrid w:val="0"/>
        <w:ind w:firstLine="2520" w:firstLineChars="900"/>
        <w:rPr>
          <w:rFonts w:cs="Times New Roman"/>
          <w:color w:val="000000"/>
          <w:sz w:val="28"/>
          <w:szCs w:val="28"/>
        </w:rPr>
      </w:pPr>
    </w:p>
    <w:p>
      <w:pPr>
        <w:widowControl/>
        <w:snapToGrid w:val="0"/>
        <w:ind w:firstLine="2520" w:firstLineChars="900"/>
        <w:rPr>
          <w:rFonts w:cs="Times New Roman"/>
          <w:color w:val="000000"/>
          <w:sz w:val="28"/>
          <w:szCs w:val="28"/>
        </w:rPr>
      </w:pPr>
    </w:p>
    <w:p>
      <w:pPr>
        <w:pStyle w:val="3"/>
      </w:pPr>
      <w:bookmarkStart w:id="131" w:name="_Toc32478"/>
      <w:r>
        <w:rPr>
          <w:rFonts w:hint="eastAsia"/>
        </w:rPr>
        <w:t>条文说明</w:t>
      </w:r>
      <w:bookmarkEnd w:id="131"/>
    </w:p>
    <w:p>
      <w:pPr>
        <w:snapToGrid w:val="0"/>
        <w:jc w:val="center"/>
        <w:rPr>
          <w:rStyle w:val="24"/>
          <w:rFonts w:ascii="Times New Roman" w:hAnsi="Times New Roman" w:cs="Times New Roman"/>
        </w:rPr>
        <w:sectPr>
          <w:footerReference r:id="rId9" w:type="default"/>
          <w:pgSz w:w="11906" w:h="16838"/>
          <w:pgMar w:top="1440" w:right="1800" w:bottom="1440" w:left="1800" w:header="851" w:footer="992" w:gutter="0"/>
          <w:cols w:space="425" w:num="1"/>
          <w:docGrid w:type="lines" w:linePitch="312" w:charSpace="0"/>
        </w:sectPr>
      </w:pPr>
    </w:p>
    <w:p>
      <w:pPr>
        <w:snapToGrid w:val="0"/>
        <w:spacing w:line="276" w:lineRule="auto"/>
        <w:jc w:val="center"/>
        <w:rPr>
          <w:rFonts w:cs="Times New Roman"/>
        </w:rPr>
      </w:pPr>
      <w:bookmarkStart w:id="132" w:name="_Toc13687"/>
      <w:r>
        <w:rPr>
          <w:rStyle w:val="24"/>
          <w:rFonts w:ascii="Times New Roman" w:hAnsi="Times New Roman" w:cs="Times New Roman"/>
        </w:rPr>
        <w:t>目  录</w:t>
      </w:r>
      <w:bookmarkEnd w:id="132"/>
      <w:r>
        <w:rPr>
          <w:rFonts w:cs="Times New Roman"/>
        </w:rPr>
        <w:fldChar w:fldCharType="begin"/>
      </w:r>
      <w:r>
        <w:rPr>
          <w:rFonts w:cs="Times New Roman"/>
        </w:rPr>
        <w:instrText xml:space="preserve">TOC \o "1-2" \h \u </w:instrText>
      </w:r>
      <w:r>
        <w:rPr>
          <w:rFonts w:cs="Times New Roman"/>
        </w:rPr>
        <w:fldChar w:fldCharType="separate"/>
      </w:r>
    </w:p>
    <w:p>
      <w:pPr>
        <w:pStyle w:val="12"/>
        <w:tabs>
          <w:tab w:val="right" w:leader="dot" w:pos="8306"/>
        </w:tabs>
      </w:pPr>
      <w:r>
        <w:fldChar w:fldCharType="begin"/>
      </w:r>
      <w:r>
        <w:instrText xml:space="preserve"> HYPERLINK \l "_Toc12515" </w:instrText>
      </w:r>
      <w:r>
        <w:fldChar w:fldCharType="separate"/>
      </w:r>
      <w:r>
        <w:rPr>
          <w:rFonts w:cs="Times New Roman"/>
        </w:rPr>
        <w:t>1  总  则</w:t>
      </w:r>
      <w:r>
        <w:tab/>
      </w:r>
      <w:r>
        <w:fldChar w:fldCharType="begin"/>
      </w:r>
      <w:r>
        <w:instrText xml:space="preserve"> PAGEREF _Toc12515 \h </w:instrText>
      </w:r>
      <w:r>
        <w:fldChar w:fldCharType="separate"/>
      </w:r>
      <w:r>
        <w:t>44</w:t>
      </w:r>
      <w:r>
        <w:fldChar w:fldCharType="end"/>
      </w:r>
      <w:r>
        <w:fldChar w:fldCharType="end"/>
      </w:r>
    </w:p>
    <w:p>
      <w:pPr>
        <w:pStyle w:val="12"/>
        <w:tabs>
          <w:tab w:val="right" w:leader="dot" w:pos="8306"/>
        </w:tabs>
      </w:pPr>
      <w:r>
        <w:fldChar w:fldCharType="begin"/>
      </w:r>
      <w:r>
        <w:instrText xml:space="preserve"> HYPERLINK \l "_Toc32056" </w:instrText>
      </w:r>
      <w:r>
        <w:fldChar w:fldCharType="separate"/>
      </w:r>
      <w:r>
        <w:rPr>
          <w:rFonts w:cs="Times New Roman"/>
        </w:rPr>
        <w:t>3  材  料</w:t>
      </w:r>
      <w:r>
        <w:tab/>
      </w:r>
      <w:r>
        <w:fldChar w:fldCharType="begin"/>
      </w:r>
      <w:r>
        <w:instrText xml:space="preserve"> PAGEREF _Toc32056 \h </w:instrText>
      </w:r>
      <w:r>
        <w:fldChar w:fldCharType="separate"/>
      </w:r>
      <w:r>
        <w:t>46</w:t>
      </w:r>
      <w:r>
        <w:fldChar w:fldCharType="end"/>
      </w:r>
      <w:r>
        <w:fldChar w:fldCharType="end"/>
      </w:r>
    </w:p>
    <w:p>
      <w:pPr>
        <w:pStyle w:val="13"/>
        <w:tabs>
          <w:tab w:val="right" w:leader="dot" w:pos="8306"/>
        </w:tabs>
        <w:ind w:left="480"/>
      </w:pPr>
      <w:r>
        <w:fldChar w:fldCharType="begin"/>
      </w:r>
      <w:r>
        <w:instrText xml:space="preserve"> HYPERLINK \l "_Toc13867" </w:instrText>
      </w:r>
      <w:r>
        <w:fldChar w:fldCharType="separate"/>
      </w:r>
      <w:r>
        <w:rPr>
          <w:rFonts w:cs="Times New Roman"/>
        </w:rPr>
        <w:t>3.1  一般规定</w:t>
      </w:r>
      <w:r>
        <w:tab/>
      </w:r>
      <w:r>
        <w:fldChar w:fldCharType="begin"/>
      </w:r>
      <w:r>
        <w:instrText xml:space="preserve"> PAGEREF _Toc13867 \h </w:instrText>
      </w:r>
      <w:r>
        <w:fldChar w:fldCharType="separate"/>
      </w:r>
      <w:r>
        <w:t>46</w:t>
      </w:r>
      <w:r>
        <w:fldChar w:fldCharType="end"/>
      </w:r>
      <w:r>
        <w:fldChar w:fldCharType="end"/>
      </w:r>
    </w:p>
    <w:p>
      <w:pPr>
        <w:pStyle w:val="13"/>
        <w:tabs>
          <w:tab w:val="right" w:leader="dot" w:pos="8306"/>
        </w:tabs>
        <w:ind w:left="480"/>
      </w:pPr>
      <w:r>
        <w:fldChar w:fldCharType="begin"/>
      </w:r>
      <w:r>
        <w:instrText xml:space="preserve"> HYPERLINK \l "_Toc25069" </w:instrText>
      </w:r>
      <w:r>
        <w:fldChar w:fldCharType="separate"/>
      </w:r>
      <w:r>
        <w:rPr>
          <w:rFonts w:cs="Times New Roman"/>
        </w:rPr>
        <w:t>3.2  墙面板</w:t>
      </w:r>
      <w:r>
        <w:tab/>
      </w:r>
      <w:r>
        <w:fldChar w:fldCharType="begin"/>
      </w:r>
      <w:r>
        <w:instrText xml:space="preserve"> PAGEREF _Toc25069 \h </w:instrText>
      </w:r>
      <w:r>
        <w:fldChar w:fldCharType="separate"/>
      </w:r>
      <w:r>
        <w:t>46</w:t>
      </w:r>
      <w:r>
        <w:fldChar w:fldCharType="end"/>
      </w:r>
      <w:r>
        <w:fldChar w:fldCharType="end"/>
      </w:r>
    </w:p>
    <w:p>
      <w:pPr>
        <w:pStyle w:val="13"/>
        <w:tabs>
          <w:tab w:val="right" w:leader="dot" w:pos="8306"/>
        </w:tabs>
        <w:ind w:left="480"/>
      </w:pPr>
      <w:r>
        <w:fldChar w:fldCharType="begin"/>
      </w:r>
      <w:r>
        <w:instrText xml:space="preserve"> HYPERLINK \l "_Toc2435" </w:instrText>
      </w:r>
      <w:r>
        <w:fldChar w:fldCharType="separate"/>
      </w:r>
      <w:r>
        <w:rPr>
          <w:rFonts w:cs="Times New Roman"/>
        </w:rPr>
        <w:t>3.3  </w:t>
      </w:r>
      <w:r>
        <w:rPr>
          <w:rFonts w:hint="eastAsia" w:cs="Times New Roman"/>
        </w:rPr>
        <w:t>注仓</w:t>
      </w:r>
      <w:r>
        <w:rPr>
          <w:rFonts w:cs="Times New Roman"/>
        </w:rPr>
        <w:t>料</w:t>
      </w:r>
      <w:r>
        <w:tab/>
      </w:r>
      <w:r>
        <w:fldChar w:fldCharType="begin"/>
      </w:r>
      <w:r>
        <w:instrText xml:space="preserve"> PAGEREF _Toc2435 \h </w:instrText>
      </w:r>
      <w:r>
        <w:fldChar w:fldCharType="separate"/>
      </w:r>
      <w:r>
        <w:t>46</w:t>
      </w:r>
      <w:r>
        <w:fldChar w:fldCharType="end"/>
      </w:r>
      <w:r>
        <w:fldChar w:fldCharType="end"/>
      </w:r>
    </w:p>
    <w:p>
      <w:pPr>
        <w:pStyle w:val="13"/>
        <w:tabs>
          <w:tab w:val="right" w:leader="dot" w:pos="8306"/>
        </w:tabs>
        <w:ind w:left="480"/>
      </w:pPr>
      <w:r>
        <w:fldChar w:fldCharType="begin"/>
      </w:r>
      <w:r>
        <w:instrText xml:space="preserve"> HYPERLINK \l "_Toc17949" </w:instrText>
      </w:r>
      <w:r>
        <w:fldChar w:fldCharType="separate"/>
      </w:r>
      <w:r>
        <w:rPr>
          <w:rFonts w:cs="Times New Roman"/>
        </w:rPr>
        <w:t>3.4  保温</w:t>
      </w:r>
      <w:r>
        <w:rPr>
          <w:rFonts w:hint="eastAsia" w:cs="Times New Roman"/>
        </w:rPr>
        <w:t>板</w:t>
      </w:r>
      <w:r>
        <w:tab/>
      </w:r>
      <w:r>
        <w:fldChar w:fldCharType="begin"/>
      </w:r>
      <w:r>
        <w:instrText xml:space="preserve"> PAGEREF _Toc17949 \h </w:instrText>
      </w:r>
      <w:r>
        <w:fldChar w:fldCharType="separate"/>
      </w:r>
      <w:r>
        <w:t>47</w:t>
      </w:r>
      <w:r>
        <w:fldChar w:fldCharType="end"/>
      </w:r>
      <w:r>
        <w:fldChar w:fldCharType="end"/>
      </w:r>
    </w:p>
    <w:p>
      <w:pPr>
        <w:pStyle w:val="13"/>
        <w:tabs>
          <w:tab w:val="right" w:leader="dot" w:pos="8306"/>
        </w:tabs>
        <w:ind w:left="480"/>
      </w:pPr>
      <w:r>
        <w:fldChar w:fldCharType="begin"/>
      </w:r>
      <w:r>
        <w:instrText xml:space="preserve"> HYPERLINK \l "_Toc6764" </w:instrText>
      </w:r>
      <w:r>
        <w:fldChar w:fldCharType="separate"/>
      </w:r>
      <w:r>
        <w:rPr>
          <w:rFonts w:hint="eastAsia" w:cs="Times New Roman"/>
        </w:rPr>
        <w:t>3.5</w:t>
      </w:r>
      <w:r>
        <w:rPr>
          <w:rFonts w:hint="eastAsia" w:cs="宋体"/>
        </w:rPr>
        <w:t> </w:t>
      </w:r>
      <w:r>
        <w:rPr>
          <w:rFonts w:hint="eastAsia"/>
        </w:rPr>
        <w:t>钢丝</w:t>
      </w:r>
      <w:r>
        <w:tab/>
      </w:r>
      <w:r>
        <w:fldChar w:fldCharType="begin"/>
      </w:r>
      <w:r>
        <w:instrText xml:space="preserve"> PAGEREF _Toc6764 \h </w:instrText>
      </w:r>
      <w:r>
        <w:fldChar w:fldCharType="separate"/>
      </w:r>
      <w:r>
        <w:t>47</w:t>
      </w:r>
      <w:r>
        <w:fldChar w:fldCharType="end"/>
      </w:r>
      <w:r>
        <w:fldChar w:fldCharType="end"/>
      </w:r>
    </w:p>
    <w:p>
      <w:pPr>
        <w:pStyle w:val="13"/>
        <w:tabs>
          <w:tab w:val="right" w:leader="dot" w:pos="8306"/>
        </w:tabs>
        <w:ind w:left="480"/>
      </w:pPr>
      <w:r>
        <w:fldChar w:fldCharType="begin"/>
      </w:r>
      <w:r>
        <w:instrText xml:space="preserve"> HYPERLINK \l "_Toc21141" </w:instrText>
      </w:r>
      <w:r>
        <w:fldChar w:fldCharType="separate"/>
      </w:r>
      <w:r>
        <w:rPr>
          <w:rFonts w:cs="Times New Roman"/>
        </w:rPr>
        <w:t>3.</w:t>
      </w:r>
      <w:r>
        <w:rPr>
          <w:rFonts w:hint="eastAsia" w:cs="Times New Roman"/>
        </w:rPr>
        <w:t>6</w:t>
      </w:r>
      <w:r>
        <w:rPr>
          <w:rFonts w:cs="Times New Roman"/>
        </w:rPr>
        <w:t>  连接材料</w:t>
      </w:r>
      <w:r>
        <w:tab/>
      </w:r>
      <w:r>
        <w:fldChar w:fldCharType="begin"/>
      </w:r>
      <w:r>
        <w:instrText xml:space="preserve"> PAGEREF _Toc21141 \h </w:instrText>
      </w:r>
      <w:r>
        <w:fldChar w:fldCharType="separate"/>
      </w:r>
      <w:r>
        <w:t>47</w:t>
      </w:r>
      <w:r>
        <w:fldChar w:fldCharType="end"/>
      </w:r>
      <w:r>
        <w:fldChar w:fldCharType="end"/>
      </w:r>
    </w:p>
    <w:p>
      <w:pPr>
        <w:pStyle w:val="12"/>
        <w:tabs>
          <w:tab w:val="right" w:leader="dot" w:pos="8306"/>
        </w:tabs>
      </w:pPr>
      <w:r>
        <w:fldChar w:fldCharType="begin"/>
      </w:r>
      <w:r>
        <w:instrText xml:space="preserve"> HYPERLINK \l "_Toc20618" </w:instrText>
      </w:r>
      <w:r>
        <w:fldChar w:fldCharType="separate"/>
      </w:r>
      <w:r>
        <w:rPr>
          <w:rFonts w:cs="Times New Roman"/>
        </w:rPr>
        <w:t>4  设  计</w:t>
      </w:r>
      <w:r>
        <w:tab/>
      </w:r>
      <w:r>
        <w:fldChar w:fldCharType="begin"/>
      </w:r>
      <w:r>
        <w:instrText xml:space="preserve"> PAGEREF _Toc20618 \h </w:instrText>
      </w:r>
      <w:r>
        <w:fldChar w:fldCharType="separate"/>
      </w:r>
      <w:r>
        <w:t>48</w:t>
      </w:r>
      <w:r>
        <w:fldChar w:fldCharType="end"/>
      </w:r>
      <w:r>
        <w:fldChar w:fldCharType="end"/>
      </w:r>
    </w:p>
    <w:p>
      <w:pPr>
        <w:pStyle w:val="13"/>
        <w:tabs>
          <w:tab w:val="right" w:leader="dot" w:pos="8306"/>
        </w:tabs>
        <w:ind w:left="480"/>
      </w:pPr>
      <w:r>
        <w:fldChar w:fldCharType="begin"/>
      </w:r>
      <w:r>
        <w:instrText xml:space="preserve"> HYPERLINK \l "_Toc21069" </w:instrText>
      </w:r>
      <w:r>
        <w:fldChar w:fldCharType="separate"/>
      </w:r>
      <w:r>
        <w:rPr>
          <w:rFonts w:cs="Times New Roman"/>
        </w:rPr>
        <w:t>4.1  一般规定</w:t>
      </w:r>
      <w:r>
        <w:tab/>
      </w:r>
      <w:r>
        <w:fldChar w:fldCharType="begin"/>
      </w:r>
      <w:r>
        <w:instrText xml:space="preserve"> PAGEREF _Toc21069 \h </w:instrText>
      </w:r>
      <w:r>
        <w:fldChar w:fldCharType="separate"/>
      </w:r>
      <w:r>
        <w:t>48</w:t>
      </w:r>
      <w:r>
        <w:fldChar w:fldCharType="end"/>
      </w:r>
      <w:r>
        <w:fldChar w:fldCharType="end"/>
      </w:r>
    </w:p>
    <w:p>
      <w:pPr>
        <w:pStyle w:val="13"/>
        <w:tabs>
          <w:tab w:val="right" w:leader="dot" w:pos="8306"/>
        </w:tabs>
        <w:ind w:left="480"/>
      </w:pPr>
      <w:r>
        <w:fldChar w:fldCharType="begin"/>
      </w:r>
      <w:r>
        <w:instrText xml:space="preserve"> HYPERLINK \l "_Toc19789" </w:instrText>
      </w:r>
      <w:r>
        <w:fldChar w:fldCharType="separate"/>
      </w:r>
      <w:r>
        <w:rPr>
          <w:rFonts w:cs="Times New Roman"/>
        </w:rPr>
        <w:t>4.</w:t>
      </w:r>
      <w:r>
        <w:rPr>
          <w:rFonts w:hint="eastAsia" w:cs="Times New Roman"/>
        </w:rPr>
        <w:t>2</w:t>
      </w:r>
      <w:r>
        <w:rPr>
          <w:rFonts w:cs="Times New Roman"/>
        </w:rPr>
        <w:t>  结构设计</w:t>
      </w:r>
      <w:r>
        <w:tab/>
      </w:r>
      <w:r>
        <w:fldChar w:fldCharType="begin"/>
      </w:r>
      <w:r>
        <w:instrText xml:space="preserve"> PAGEREF _Toc19789 \h </w:instrText>
      </w:r>
      <w:r>
        <w:fldChar w:fldCharType="separate"/>
      </w:r>
      <w:r>
        <w:t>49</w:t>
      </w:r>
      <w:r>
        <w:fldChar w:fldCharType="end"/>
      </w:r>
      <w:r>
        <w:fldChar w:fldCharType="end"/>
      </w:r>
    </w:p>
    <w:p>
      <w:pPr>
        <w:pStyle w:val="13"/>
        <w:tabs>
          <w:tab w:val="right" w:leader="dot" w:pos="8306"/>
        </w:tabs>
        <w:ind w:left="480"/>
      </w:pPr>
      <w:r>
        <w:fldChar w:fldCharType="begin"/>
      </w:r>
      <w:r>
        <w:instrText xml:space="preserve"> HYPERLINK \l "_Toc16872" </w:instrText>
      </w:r>
      <w:r>
        <w:fldChar w:fldCharType="separate"/>
      </w:r>
      <w:r>
        <w:rPr>
          <w:rFonts w:cs="Times New Roman"/>
        </w:rPr>
        <w:t>4.</w:t>
      </w:r>
      <w:r>
        <w:rPr>
          <w:rFonts w:hint="eastAsia" w:cs="Times New Roman"/>
        </w:rPr>
        <w:t>3</w:t>
      </w:r>
      <w:r>
        <w:rPr>
          <w:rFonts w:cs="Times New Roman"/>
        </w:rPr>
        <w:t>  </w:t>
      </w:r>
      <w:r>
        <w:rPr>
          <w:rFonts w:hint="eastAsia" w:cs="Times New Roman"/>
        </w:rPr>
        <w:t>节能</w:t>
      </w:r>
      <w:r>
        <w:rPr>
          <w:rFonts w:cs="Times New Roman"/>
        </w:rPr>
        <w:t>设计</w:t>
      </w:r>
      <w:r>
        <w:tab/>
      </w:r>
      <w:r>
        <w:fldChar w:fldCharType="begin"/>
      </w:r>
      <w:r>
        <w:instrText xml:space="preserve"> PAGEREF _Toc16872 \h </w:instrText>
      </w:r>
      <w:r>
        <w:fldChar w:fldCharType="separate"/>
      </w:r>
      <w:r>
        <w:t>50</w:t>
      </w:r>
      <w:r>
        <w:fldChar w:fldCharType="end"/>
      </w:r>
      <w:r>
        <w:fldChar w:fldCharType="end"/>
      </w:r>
    </w:p>
    <w:p>
      <w:pPr>
        <w:pStyle w:val="13"/>
        <w:tabs>
          <w:tab w:val="right" w:leader="dot" w:pos="8306"/>
        </w:tabs>
        <w:ind w:left="480"/>
      </w:pPr>
      <w:r>
        <w:fldChar w:fldCharType="begin"/>
      </w:r>
      <w:r>
        <w:instrText xml:space="preserve"> HYPERLINK \l "_Toc16371" </w:instrText>
      </w:r>
      <w:r>
        <w:fldChar w:fldCharType="separate"/>
      </w:r>
      <w:r>
        <w:rPr>
          <w:rFonts w:cs="Times New Roman"/>
        </w:rPr>
        <w:t>4.4  构造措施</w:t>
      </w:r>
      <w:r>
        <w:tab/>
      </w:r>
      <w:r>
        <w:fldChar w:fldCharType="begin"/>
      </w:r>
      <w:r>
        <w:instrText xml:space="preserve"> PAGEREF _Toc16371 \h </w:instrText>
      </w:r>
      <w:r>
        <w:fldChar w:fldCharType="separate"/>
      </w:r>
      <w:r>
        <w:t>51</w:t>
      </w:r>
      <w:r>
        <w:fldChar w:fldCharType="end"/>
      </w:r>
      <w:r>
        <w:fldChar w:fldCharType="end"/>
      </w:r>
    </w:p>
    <w:p>
      <w:pPr>
        <w:pStyle w:val="12"/>
        <w:tabs>
          <w:tab w:val="right" w:leader="dot" w:pos="8306"/>
        </w:tabs>
      </w:pPr>
      <w:r>
        <w:fldChar w:fldCharType="begin"/>
      </w:r>
      <w:r>
        <w:instrText xml:space="preserve"> HYPERLINK \l "_Toc19497" </w:instrText>
      </w:r>
      <w:r>
        <w:fldChar w:fldCharType="separate"/>
      </w:r>
      <w:r>
        <w:rPr>
          <w:rFonts w:cs="Times New Roman"/>
        </w:rPr>
        <w:t>5  施  工</w:t>
      </w:r>
      <w:r>
        <w:tab/>
      </w:r>
      <w:r>
        <w:fldChar w:fldCharType="begin"/>
      </w:r>
      <w:r>
        <w:instrText xml:space="preserve"> PAGEREF _Toc19497 \h </w:instrText>
      </w:r>
      <w:r>
        <w:fldChar w:fldCharType="separate"/>
      </w:r>
      <w:r>
        <w:t>52</w:t>
      </w:r>
      <w:r>
        <w:fldChar w:fldCharType="end"/>
      </w:r>
      <w:r>
        <w:fldChar w:fldCharType="end"/>
      </w:r>
    </w:p>
    <w:p>
      <w:pPr>
        <w:pStyle w:val="13"/>
        <w:tabs>
          <w:tab w:val="right" w:leader="dot" w:pos="8306"/>
        </w:tabs>
        <w:ind w:left="480"/>
      </w:pPr>
      <w:r>
        <w:fldChar w:fldCharType="begin"/>
      </w:r>
      <w:r>
        <w:instrText xml:space="preserve"> HYPERLINK \l "_Toc1717" </w:instrText>
      </w:r>
      <w:r>
        <w:fldChar w:fldCharType="separate"/>
      </w:r>
      <w:r>
        <w:rPr>
          <w:rFonts w:cs="Times New Roman"/>
        </w:rPr>
        <w:t>5.1  一般规定</w:t>
      </w:r>
      <w:r>
        <w:tab/>
      </w:r>
      <w:r>
        <w:fldChar w:fldCharType="begin"/>
      </w:r>
      <w:r>
        <w:instrText xml:space="preserve"> PAGEREF _Toc1717 \h </w:instrText>
      </w:r>
      <w:r>
        <w:fldChar w:fldCharType="separate"/>
      </w:r>
      <w:r>
        <w:t>52</w:t>
      </w:r>
      <w:r>
        <w:fldChar w:fldCharType="end"/>
      </w:r>
      <w:r>
        <w:fldChar w:fldCharType="end"/>
      </w:r>
    </w:p>
    <w:p>
      <w:pPr>
        <w:pStyle w:val="13"/>
        <w:tabs>
          <w:tab w:val="right" w:leader="dot" w:pos="8306"/>
        </w:tabs>
        <w:ind w:left="480"/>
      </w:pPr>
      <w:r>
        <w:fldChar w:fldCharType="begin"/>
      </w:r>
      <w:r>
        <w:instrText xml:space="preserve"> HYPERLINK \l "_Toc8958" </w:instrText>
      </w:r>
      <w:r>
        <w:fldChar w:fldCharType="separate"/>
      </w:r>
      <w:r>
        <w:rPr>
          <w:rFonts w:cs="Times New Roman"/>
        </w:rPr>
        <w:t>5.2  预制构件安装</w:t>
      </w:r>
      <w:r>
        <w:tab/>
      </w:r>
      <w:r>
        <w:fldChar w:fldCharType="begin"/>
      </w:r>
      <w:r>
        <w:instrText xml:space="preserve"> PAGEREF _Toc8958 \h </w:instrText>
      </w:r>
      <w:r>
        <w:fldChar w:fldCharType="separate"/>
      </w:r>
      <w:r>
        <w:t>52</w:t>
      </w:r>
      <w:r>
        <w:fldChar w:fldCharType="end"/>
      </w:r>
      <w:r>
        <w:fldChar w:fldCharType="end"/>
      </w:r>
    </w:p>
    <w:p>
      <w:pPr>
        <w:pStyle w:val="13"/>
        <w:tabs>
          <w:tab w:val="right" w:leader="dot" w:pos="8306"/>
        </w:tabs>
        <w:ind w:left="480"/>
      </w:pPr>
      <w:r>
        <w:fldChar w:fldCharType="begin"/>
      </w:r>
      <w:r>
        <w:instrText xml:space="preserve"> HYPERLINK \l "_Toc28170" </w:instrText>
      </w:r>
      <w:r>
        <w:fldChar w:fldCharType="separate"/>
      </w:r>
      <w:r>
        <w:rPr>
          <w:rFonts w:cs="Times New Roman"/>
        </w:rPr>
        <w:t>5.3  管线和保温</w:t>
      </w:r>
      <w:r>
        <w:rPr>
          <w:rFonts w:hint="eastAsia" w:cs="Times New Roman"/>
        </w:rPr>
        <w:t>板</w:t>
      </w:r>
      <w:r>
        <w:rPr>
          <w:rFonts w:cs="Times New Roman"/>
        </w:rPr>
        <w:t>安装</w:t>
      </w:r>
      <w:r>
        <w:tab/>
      </w:r>
      <w:r>
        <w:fldChar w:fldCharType="begin"/>
      </w:r>
      <w:r>
        <w:instrText xml:space="preserve"> PAGEREF _Toc28170 \h </w:instrText>
      </w:r>
      <w:r>
        <w:fldChar w:fldCharType="separate"/>
      </w:r>
      <w:r>
        <w:t>52</w:t>
      </w:r>
      <w:r>
        <w:fldChar w:fldCharType="end"/>
      </w:r>
      <w:r>
        <w:fldChar w:fldCharType="end"/>
      </w:r>
    </w:p>
    <w:p>
      <w:pPr>
        <w:pStyle w:val="13"/>
        <w:tabs>
          <w:tab w:val="right" w:leader="dot" w:pos="8306"/>
        </w:tabs>
        <w:ind w:left="480"/>
      </w:pPr>
      <w:r>
        <w:fldChar w:fldCharType="begin"/>
      </w:r>
      <w:r>
        <w:instrText xml:space="preserve"> HYPERLINK \l "_Toc25117" </w:instrText>
      </w:r>
      <w:r>
        <w:fldChar w:fldCharType="separate"/>
      </w:r>
      <w:r>
        <w:rPr>
          <w:rFonts w:cs="Times New Roman"/>
        </w:rPr>
        <w:t>5.4  工具式模板安装</w:t>
      </w:r>
      <w:r>
        <w:tab/>
      </w:r>
      <w:r>
        <w:fldChar w:fldCharType="begin"/>
      </w:r>
      <w:r>
        <w:instrText xml:space="preserve"> PAGEREF _Toc25117 \h </w:instrText>
      </w:r>
      <w:r>
        <w:fldChar w:fldCharType="separate"/>
      </w:r>
      <w:r>
        <w:t>53</w:t>
      </w:r>
      <w:r>
        <w:fldChar w:fldCharType="end"/>
      </w:r>
      <w:r>
        <w:fldChar w:fldCharType="end"/>
      </w:r>
    </w:p>
    <w:p>
      <w:pPr>
        <w:pStyle w:val="13"/>
        <w:tabs>
          <w:tab w:val="right" w:leader="dot" w:pos="8306"/>
        </w:tabs>
        <w:ind w:left="480"/>
      </w:pPr>
      <w:r>
        <w:fldChar w:fldCharType="begin"/>
      </w:r>
      <w:r>
        <w:instrText xml:space="preserve"> HYPERLINK \l "_Toc10097" </w:instrText>
      </w:r>
      <w:r>
        <w:fldChar w:fldCharType="separate"/>
      </w:r>
      <w:r>
        <w:rPr>
          <w:rFonts w:cs="Times New Roman"/>
        </w:rPr>
        <w:t>5.5  </w:t>
      </w:r>
      <w:r>
        <w:rPr>
          <w:rFonts w:hint="eastAsia" w:cs="Times New Roman"/>
        </w:rPr>
        <w:t>注仓</w:t>
      </w:r>
      <w:r>
        <w:rPr>
          <w:rFonts w:cs="Times New Roman"/>
        </w:rPr>
        <w:t>料施工</w:t>
      </w:r>
      <w:r>
        <w:tab/>
      </w:r>
      <w:r>
        <w:fldChar w:fldCharType="begin"/>
      </w:r>
      <w:r>
        <w:instrText xml:space="preserve"> PAGEREF _Toc10097 \h </w:instrText>
      </w:r>
      <w:r>
        <w:fldChar w:fldCharType="separate"/>
      </w:r>
      <w:r>
        <w:t>53</w:t>
      </w:r>
      <w:r>
        <w:fldChar w:fldCharType="end"/>
      </w:r>
      <w:r>
        <w:fldChar w:fldCharType="end"/>
      </w:r>
    </w:p>
    <w:p>
      <w:pPr>
        <w:pStyle w:val="13"/>
        <w:tabs>
          <w:tab w:val="right" w:leader="dot" w:pos="8306"/>
        </w:tabs>
        <w:ind w:left="480"/>
      </w:pPr>
      <w:r>
        <w:fldChar w:fldCharType="begin"/>
      </w:r>
      <w:r>
        <w:instrText xml:space="preserve"> HYPERLINK \l "_Toc20288" </w:instrText>
      </w:r>
      <w:r>
        <w:fldChar w:fldCharType="separate"/>
      </w:r>
      <w:r>
        <w:rPr>
          <w:rFonts w:cs="Times New Roman"/>
        </w:rPr>
        <w:t>5.</w:t>
      </w:r>
      <w:r>
        <w:rPr>
          <w:rFonts w:hint="eastAsia" w:cs="Times New Roman"/>
        </w:rPr>
        <w:t>6</w:t>
      </w:r>
      <w:r>
        <w:rPr>
          <w:rFonts w:cs="Times New Roman"/>
        </w:rPr>
        <w:t>  </w:t>
      </w:r>
      <w:r>
        <w:rPr>
          <w:rFonts w:hint="eastAsia" w:cs="Times New Roman"/>
        </w:rPr>
        <w:t>绿色</w:t>
      </w:r>
      <w:r>
        <w:rPr>
          <w:rFonts w:cs="Times New Roman"/>
        </w:rPr>
        <w:t>施工</w:t>
      </w:r>
      <w:r>
        <w:tab/>
      </w:r>
      <w:r>
        <w:fldChar w:fldCharType="begin"/>
      </w:r>
      <w:r>
        <w:instrText xml:space="preserve"> PAGEREF _Toc20288 \h </w:instrText>
      </w:r>
      <w:r>
        <w:fldChar w:fldCharType="separate"/>
      </w:r>
      <w:r>
        <w:t>53</w:t>
      </w:r>
      <w:r>
        <w:fldChar w:fldCharType="end"/>
      </w:r>
      <w:r>
        <w:fldChar w:fldCharType="end"/>
      </w:r>
    </w:p>
    <w:p>
      <w:pPr>
        <w:pStyle w:val="12"/>
        <w:tabs>
          <w:tab w:val="right" w:leader="dot" w:pos="8306"/>
        </w:tabs>
      </w:pPr>
      <w:r>
        <w:fldChar w:fldCharType="begin"/>
      </w:r>
      <w:r>
        <w:instrText xml:space="preserve"> HYPERLINK \l "_Toc6944" </w:instrText>
      </w:r>
      <w:r>
        <w:fldChar w:fldCharType="separate"/>
      </w:r>
      <w:r>
        <w:rPr>
          <w:rFonts w:cs="Times New Roman"/>
        </w:rPr>
        <w:t>6  验  收</w:t>
      </w:r>
      <w:r>
        <w:tab/>
      </w:r>
      <w:r>
        <w:fldChar w:fldCharType="begin"/>
      </w:r>
      <w:r>
        <w:instrText xml:space="preserve"> PAGEREF _Toc6944 \h </w:instrText>
      </w:r>
      <w:r>
        <w:fldChar w:fldCharType="separate"/>
      </w:r>
      <w:r>
        <w:t>54</w:t>
      </w:r>
      <w:r>
        <w:fldChar w:fldCharType="end"/>
      </w:r>
      <w:r>
        <w:fldChar w:fldCharType="end"/>
      </w:r>
    </w:p>
    <w:p>
      <w:pPr>
        <w:pStyle w:val="13"/>
        <w:tabs>
          <w:tab w:val="right" w:leader="dot" w:pos="8306"/>
        </w:tabs>
        <w:ind w:left="480"/>
      </w:pPr>
      <w:r>
        <w:fldChar w:fldCharType="begin"/>
      </w:r>
      <w:r>
        <w:instrText xml:space="preserve"> HYPERLINK \l "_Toc11650" </w:instrText>
      </w:r>
      <w:r>
        <w:fldChar w:fldCharType="separate"/>
      </w:r>
      <w:r>
        <w:rPr>
          <w:rFonts w:cs="Times New Roman"/>
        </w:rPr>
        <w:t>6.1  一般规定</w:t>
      </w:r>
      <w:r>
        <w:tab/>
      </w:r>
      <w:r>
        <w:fldChar w:fldCharType="begin"/>
      </w:r>
      <w:r>
        <w:instrText xml:space="preserve"> PAGEREF _Toc11650 \h </w:instrText>
      </w:r>
      <w:r>
        <w:fldChar w:fldCharType="separate"/>
      </w:r>
      <w:r>
        <w:t>54</w:t>
      </w:r>
      <w:r>
        <w:fldChar w:fldCharType="end"/>
      </w:r>
      <w:r>
        <w:fldChar w:fldCharType="end"/>
      </w:r>
    </w:p>
    <w:p>
      <w:pPr>
        <w:pStyle w:val="13"/>
        <w:tabs>
          <w:tab w:val="right" w:leader="dot" w:pos="8306"/>
        </w:tabs>
        <w:ind w:left="480"/>
      </w:pPr>
      <w:r>
        <w:fldChar w:fldCharType="begin"/>
      </w:r>
      <w:r>
        <w:instrText xml:space="preserve"> HYPERLINK \l "_Toc5254" </w:instrText>
      </w:r>
      <w:r>
        <w:fldChar w:fldCharType="separate"/>
      </w:r>
      <w:r>
        <w:rPr>
          <w:rFonts w:cs="Times New Roman"/>
        </w:rPr>
        <w:t>6.2  连接件</w:t>
      </w:r>
      <w:r>
        <w:tab/>
      </w:r>
      <w:r>
        <w:fldChar w:fldCharType="begin"/>
      </w:r>
      <w:r>
        <w:instrText xml:space="preserve"> PAGEREF _Toc5254 \h </w:instrText>
      </w:r>
      <w:r>
        <w:fldChar w:fldCharType="separate"/>
      </w:r>
      <w:r>
        <w:t>54</w:t>
      </w:r>
      <w:r>
        <w:fldChar w:fldCharType="end"/>
      </w:r>
      <w:r>
        <w:fldChar w:fldCharType="end"/>
      </w:r>
    </w:p>
    <w:p>
      <w:pPr>
        <w:pStyle w:val="13"/>
        <w:tabs>
          <w:tab w:val="right" w:leader="dot" w:pos="8306"/>
        </w:tabs>
        <w:ind w:left="480"/>
      </w:pPr>
      <w:r>
        <w:fldChar w:fldCharType="begin"/>
      </w:r>
      <w:r>
        <w:instrText xml:space="preserve"> HYPERLINK \l "_Toc17520" </w:instrText>
      </w:r>
      <w:r>
        <w:fldChar w:fldCharType="separate"/>
      </w:r>
      <w:r>
        <w:rPr>
          <w:rFonts w:cs="Times New Roman"/>
        </w:rPr>
        <w:t>6.3  </w:t>
      </w:r>
      <w:r>
        <w:rPr>
          <w:rFonts w:hint="eastAsia" w:cs="Times New Roman"/>
        </w:rPr>
        <w:t>预制</w:t>
      </w:r>
      <w:r>
        <w:rPr>
          <w:rFonts w:cs="Times New Roman"/>
        </w:rPr>
        <w:t>构件</w:t>
      </w:r>
      <w:r>
        <w:tab/>
      </w:r>
      <w:r>
        <w:fldChar w:fldCharType="begin"/>
      </w:r>
      <w:r>
        <w:instrText xml:space="preserve"> PAGEREF _Toc17520 \h </w:instrText>
      </w:r>
      <w:r>
        <w:fldChar w:fldCharType="separate"/>
      </w:r>
      <w:r>
        <w:t>54</w:t>
      </w:r>
      <w:r>
        <w:fldChar w:fldCharType="end"/>
      </w:r>
      <w:r>
        <w:fldChar w:fldCharType="end"/>
      </w:r>
    </w:p>
    <w:p>
      <w:pPr>
        <w:pStyle w:val="13"/>
        <w:tabs>
          <w:tab w:val="right" w:leader="dot" w:pos="8306"/>
        </w:tabs>
        <w:ind w:left="480"/>
      </w:pPr>
      <w:r>
        <w:fldChar w:fldCharType="begin"/>
      </w:r>
      <w:r>
        <w:instrText xml:space="preserve"> HYPERLINK \l "_Toc1923" </w:instrText>
      </w:r>
      <w:r>
        <w:fldChar w:fldCharType="separate"/>
      </w:r>
      <w:r>
        <w:rPr>
          <w:rFonts w:cs="Times New Roman"/>
        </w:rPr>
        <w:t>6.4  保温</w:t>
      </w:r>
      <w:r>
        <w:rPr>
          <w:rFonts w:hint="eastAsia" w:cs="Times New Roman"/>
        </w:rPr>
        <w:t>板</w:t>
      </w:r>
      <w:r>
        <w:tab/>
      </w:r>
      <w:r>
        <w:fldChar w:fldCharType="begin"/>
      </w:r>
      <w:r>
        <w:instrText xml:space="preserve"> PAGEREF _Toc1923 \h </w:instrText>
      </w:r>
      <w:r>
        <w:fldChar w:fldCharType="separate"/>
      </w:r>
      <w:r>
        <w:t>54</w:t>
      </w:r>
      <w:r>
        <w:fldChar w:fldCharType="end"/>
      </w:r>
      <w:r>
        <w:fldChar w:fldCharType="end"/>
      </w:r>
    </w:p>
    <w:p>
      <w:pPr>
        <w:pStyle w:val="13"/>
        <w:tabs>
          <w:tab w:val="right" w:leader="dot" w:pos="8306"/>
        </w:tabs>
        <w:ind w:left="480"/>
      </w:pPr>
      <w:r>
        <w:fldChar w:fldCharType="begin"/>
      </w:r>
      <w:r>
        <w:instrText xml:space="preserve"> HYPERLINK \l "_Toc195" </w:instrText>
      </w:r>
      <w:r>
        <w:fldChar w:fldCharType="separate"/>
      </w:r>
      <w:r>
        <w:rPr>
          <w:rFonts w:cs="Times New Roman"/>
        </w:rPr>
        <w:t>6.5  </w:t>
      </w:r>
      <w:r>
        <w:rPr>
          <w:rFonts w:hint="eastAsia" w:cs="Times New Roman"/>
        </w:rPr>
        <w:t>注仓</w:t>
      </w:r>
      <w:r>
        <w:rPr>
          <w:rFonts w:cs="Times New Roman"/>
        </w:rPr>
        <w:t>料</w:t>
      </w:r>
      <w:r>
        <w:tab/>
      </w:r>
      <w:r>
        <w:fldChar w:fldCharType="begin"/>
      </w:r>
      <w:r>
        <w:instrText xml:space="preserve"> PAGEREF _Toc195 \h </w:instrText>
      </w:r>
      <w:r>
        <w:fldChar w:fldCharType="separate"/>
      </w:r>
      <w:r>
        <w:t>55</w:t>
      </w:r>
      <w:r>
        <w:fldChar w:fldCharType="end"/>
      </w:r>
      <w:r>
        <w:fldChar w:fldCharType="end"/>
      </w:r>
    </w:p>
    <w:p>
      <w:pPr>
        <w:pStyle w:val="12"/>
        <w:tabs>
          <w:tab w:val="right" w:leader="dot" w:pos="8296"/>
        </w:tabs>
        <w:spacing w:line="276" w:lineRule="auto"/>
        <w:rPr>
          <w:rFonts w:cs="Times New Roman" w:eastAsiaTheme="minorEastAsia"/>
          <w:sz w:val="21"/>
          <w:szCs w:val="22"/>
        </w:rPr>
      </w:pPr>
      <w:r>
        <w:fldChar w:fldCharType="begin"/>
      </w:r>
      <w:r>
        <w:instrText xml:space="preserve"> HYPERLINK \l "_Toc23749" </w:instrText>
      </w:r>
      <w:r>
        <w:fldChar w:fldCharType="separate"/>
      </w:r>
      <w:r>
        <w:rPr>
          <w:rFonts w:cs="Times New Roman"/>
        </w:rPr>
        <w:t>6.6  墙体工程</w:t>
      </w:r>
      <w:r>
        <w:tab/>
      </w:r>
      <w:r>
        <w:fldChar w:fldCharType="begin"/>
      </w:r>
      <w:r>
        <w:instrText xml:space="preserve"> PAGEREF _Toc23749 \h </w:instrText>
      </w:r>
      <w:r>
        <w:fldChar w:fldCharType="separate"/>
      </w:r>
      <w:r>
        <w:t>55</w:t>
      </w:r>
      <w:r>
        <w:fldChar w:fldCharType="end"/>
      </w:r>
      <w:r>
        <w:fldChar w:fldCharType="end"/>
      </w:r>
    </w:p>
    <w:p>
      <w:pPr>
        <w:snapToGrid w:val="0"/>
        <w:spacing w:line="276" w:lineRule="auto"/>
        <w:rPr>
          <w:rFonts w:cs="Times New Roman"/>
        </w:rPr>
        <w:sectPr>
          <w:pgSz w:w="11906" w:h="16838"/>
          <w:pgMar w:top="1440" w:right="1800" w:bottom="1440" w:left="1800" w:header="851" w:footer="992" w:gutter="0"/>
          <w:cols w:space="425" w:num="1"/>
          <w:docGrid w:type="lines" w:linePitch="312" w:charSpace="0"/>
        </w:sectPr>
      </w:pPr>
      <w:r>
        <w:rPr>
          <w:rFonts w:cs="Times New Roman"/>
        </w:rPr>
        <w:fldChar w:fldCharType="end"/>
      </w:r>
    </w:p>
    <w:p>
      <w:pPr>
        <w:pStyle w:val="3"/>
        <w:snapToGrid w:val="0"/>
        <w:spacing w:before="0" w:after="0" w:line="360" w:lineRule="auto"/>
        <w:rPr>
          <w:rFonts w:ascii="Times New Roman" w:hAnsi="Times New Roman" w:cs="Times New Roman"/>
        </w:rPr>
      </w:pPr>
      <w:bookmarkStart w:id="133" w:name="_Toc12515"/>
      <w:bookmarkStart w:id="134" w:name="_Toc21634"/>
      <w:r>
        <w:rPr>
          <w:rFonts w:ascii="Times New Roman" w:hAnsi="Times New Roman" w:cs="Times New Roman"/>
        </w:rPr>
        <w:t>1  总  则</w:t>
      </w:r>
      <w:bookmarkEnd w:id="133"/>
      <w:bookmarkEnd w:id="134"/>
    </w:p>
    <w:p>
      <w:r>
        <w:rPr>
          <w:b/>
          <w:bCs/>
        </w:rPr>
        <w:t>1.0.1</w:t>
      </w:r>
      <w:r>
        <w:t> 装配式复合轻质墙体（图1）是一种充分发挥预制钢筋混凝土构件装配和轻混凝土材料现浇工艺优点的新型复合墙体，墙体通过连接件与主体结构连接，保温板材、水暖电管线内置同步安装。配合工具化模板，现浇轻混凝土填充注浆仓，显著提升了墙体整体性能。</w:t>
      </w:r>
      <w:r>
        <w:rPr>
          <w:rFonts w:hint="eastAsia"/>
        </w:rPr>
        <w:t>研究表明，墙体基本力学性能满足《建筑隔墙用轻质条板通用技术要求》JGT 169-2016的各项规定，抗压性能、抗弯性能、单点吊挂和抗冲击性能良好，各项指标均远高于JGT 169的要求。</w:t>
      </w:r>
    </w:p>
    <w:p>
      <w:pPr>
        <w:snapToGrid w:val="0"/>
        <w:ind w:firstLine="420" w:firstLineChars="200"/>
        <w:jc w:val="center"/>
        <w:rPr>
          <w:sz w:val="21"/>
          <w:szCs w:val="21"/>
        </w:rPr>
      </w:pPr>
      <w:r>
        <w:rPr>
          <w:sz w:val="21"/>
          <w:szCs w:val="21"/>
        </w:rPr>
        <w:drawing>
          <wp:inline distT="0" distB="0" distL="114300" distR="114300">
            <wp:extent cx="3848100" cy="2768600"/>
            <wp:effectExtent l="0" t="0" r="0" b="12700"/>
            <wp:docPr id="27" name="图片 27" descr="F:/2023/标准/征求意见稿0108/1.31/QQ截图20240131165409.jpgQQ截图2024013116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2023/标准/征求意见稿0108/1.31/QQ截图20240131165409.jpgQQ截图20240131165409"/>
                    <pic:cNvPicPr>
                      <a:picLocks noChangeAspect="1"/>
                    </pic:cNvPicPr>
                  </pic:nvPicPr>
                  <pic:blipFill>
                    <a:blip r:embed="rId51"/>
                    <a:srcRect l="76" r="76"/>
                    <a:stretch>
                      <a:fillRect/>
                    </a:stretch>
                  </pic:blipFill>
                  <pic:spPr>
                    <a:xfrm>
                      <a:off x="0" y="0"/>
                      <a:ext cx="3848940" cy="2769279"/>
                    </a:xfrm>
                    <a:prstGeom prst="rect">
                      <a:avLst/>
                    </a:prstGeom>
                  </pic:spPr>
                </pic:pic>
              </a:graphicData>
            </a:graphic>
          </wp:inline>
        </w:drawing>
      </w:r>
    </w:p>
    <w:p>
      <w:pPr>
        <w:jc w:val="center"/>
        <w:rPr>
          <w:b/>
          <w:bCs/>
          <w:sz w:val="21"/>
          <w:szCs w:val="21"/>
        </w:rPr>
      </w:pPr>
      <w:r>
        <w:rPr>
          <w:rFonts w:hint="eastAsia"/>
          <w:b/>
          <w:bCs/>
          <w:sz w:val="21"/>
          <w:szCs w:val="21"/>
        </w:rPr>
        <w:t>（a）</w:t>
      </w:r>
      <w:r>
        <w:rPr>
          <w:b/>
          <w:bCs/>
          <w:sz w:val="21"/>
          <w:szCs w:val="21"/>
        </w:rPr>
        <w:t>墙体</w:t>
      </w:r>
      <w:r>
        <w:rPr>
          <w:rFonts w:hint="eastAsia"/>
          <w:b/>
          <w:bCs/>
          <w:sz w:val="21"/>
          <w:szCs w:val="21"/>
        </w:rPr>
        <w:t>构造示意</w:t>
      </w:r>
    </w:p>
    <w:p>
      <w:pPr>
        <w:snapToGrid w:val="0"/>
        <w:ind w:firstLine="420" w:firstLineChars="200"/>
        <w:jc w:val="center"/>
        <w:rPr>
          <w:sz w:val="21"/>
          <w:szCs w:val="21"/>
        </w:rPr>
      </w:pPr>
      <w:r>
        <w:rPr>
          <w:sz w:val="21"/>
          <w:szCs w:val="21"/>
        </w:rPr>
        <w:drawing>
          <wp:inline distT="0" distB="0" distL="114300" distR="114300">
            <wp:extent cx="2983230" cy="2584450"/>
            <wp:effectExtent l="0" t="0" r="6350" b="7620"/>
            <wp:docPr id="28" name="图片 28" descr="F:/2023/标准/征求意见稿0108/QQ截图20240312162043.jpgQQ截图2024031216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2023/标准/征求意见稿0108/QQ截图20240312162043.jpgQQ截图20240312162043"/>
                    <pic:cNvPicPr>
                      <a:picLocks noChangeAspect="1"/>
                    </pic:cNvPicPr>
                  </pic:nvPicPr>
                  <pic:blipFill>
                    <a:blip r:embed="rId52"/>
                    <a:srcRect l="1155" r="1155"/>
                    <a:stretch>
                      <a:fillRect/>
                    </a:stretch>
                  </pic:blipFill>
                  <pic:spPr>
                    <a:xfrm rot="5400000">
                      <a:off x="0" y="0"/>
                      <a:ext cx="2985251" cy="2584450"/>
                    </a:xfrm>
                    <a:prstGeom prst="rect">
                      <a:avLst/>
                    </a:prstGeom>
                    <a:ln>
                      <a:noFill/>
                    </a:ln>
                  </pic:spPr>
                </pic:pic>
              </a:graphicData>
            </a:graphic>
          </wp:inline>
        </w:drawing>
      </w:r>
    </w:p>
    <w:p>
      <w:pPr>
        <w:snapToGrid w:val="0"/>
        <w:jc w:val="center"/>
        <w:rPr>
          <w:b/>
          <w:bCs/>
          <w:sz w:val="21"/>
          <w:szCs w:val="21"/>
        </w:rPr>
      </w:pPr>
      <w:r>
        <w:rPr>
          <w:rFonts w:hint="eastAsia" w:cs="宋体"/>
          <w:b/>
          <w:bCs/>
          <w:sz w:val="21"/>
          <w:szCs w:val="21"/>
        </w:rPr>
        <w:t xml:space="preserve"> （b）A-A剖面          （c）B-B剖面</w:t>
      </w:r>
    </w:p>
    <w:p>
      <w:pPr>
        <w:snapToGrid w:val="0"/>
        <w:jc w:val="center"/>
        <w:rPr>
          <w:rFonts w:cs="宋体"/>
          <w:sz w:val="20"/>
          <w:szCs w:val="20"/>
        </w:rPr>
      </w:pPr>
      <w:r>
        <w:rPr>
          <w:rFonts w:hint="eastAsia" w:cs="宋体"/>
          <w:b/>
          <w:bCs/>
          <w:sz w:val="21"/>
          <w:szCs w:val="21"/>
        </w:rPr>
        <w:t>图1  装配式轻质复合墙体构造</w:t>
      </w:r>
    </w:p>
    <w:p>
      <w:pPr>
        <w:snapToGrid w:val="0"/>
        <w:jc w:val="center"/>
        <w:rPr>
          <w:rFonts w:cs="宋体"/>
          <w:sz w:val="18"/>
          <w:szCs w:val="18"/>
        </w:rPr>
      </w:pPr>
      <w:r>
        <w:rPr>
          <w:rFonts w:hint="eastAsia" w:cs="宋体"/>
          <w:sz w:val="18"/>
          <w:szCs w:val="18"/>
        </w:rPr>
        <w:t>1-墙面板；2-洞口板；3-过梁板；4-连接件；5-自攻螺钉；6-螺栓；</w:t>
      </w:r>
    </w:p>
    <w:p>
      <w:pPr>
        <w:snapToGrid w:val="0"/>
        <w:jc w:val="center"/>
        <w:rPr>
          <w:rFonts w:cs="宋体"/>
          <w:sz w:val="18"/>
          <w:szCs w:val="18"/>
        </w:rPr>
      </w:pPr>
      <w:r>
        <w:rPr>
          <w:rFonts w:hint="eastAsia" w:cs="宋体"/>
          <w:sz w:val="18"/>
          <w:szCs w:val="18"/>
        </w:rPr>
        <w:t>7-保温隔热材料；8a-注浆仓（填充注仓料）；8b-注浆仓（填充具有防水性能的注仓料）；</w:t>
      </w:r>
    </w:p>
    <w:p>
      <w:pPr>
        <w:snapToGrid w:val="0"/>
        <w:jc w:val="center"/>
        <w:rPr>
          <w:sz w:val="18"/>
          <w:szCs w:val="18"/>
        </w:rPr>
      </w:pPr>
      <w:r>
        <w:rPr>
          <w:rFonts w:hint="eastAsia" w:cs="宋体"/>
          <w:sz w:val="18"/>
          <w:szCs w:val="18"/>
        </w:rPr>
        <w:t>9-电箱；10-管线管网；11-工具式模板；12-注浆孔；13-溢浆孔；14-主体结构</w:t>
      </w:r>
    </w:p>
    <w:p>
      <w:pPr>
        <w:ind w:firstLine="480" w:firstLineChars="200"/>
      </w:pPr>
      <w:r>
        <w:t>该新型墙体具有如下特点：</w:t>
      </w:r>
    </w:p>
    <w:p>
      <w:pPr>
        <w:ind w:firstLine="482" w:firstLineChars="200"/>
      </w:pPr>
      <w:r>
        <w:rPr>
          <w:b/>
          <w:bCs/>
        </w:rPr>
        <w:t>1</w:t>
      </w:r>
      <w:r>
        <w:rPr>
          <w:rFonts w:hint="eastAsia"/>
        </w:rPr>
        <w:t xml:space="preserve">  </w:t>
      </w:r>
      <w:r>
        <w:t>墙体保温</w:t>
      </w:r>
      <w:r>
        <w:rPr>
          <w:rFonts w:hint="eastAsia"/>
        </w:rPr>
        <w:t>内置安装，与墙体同寿命，克服了外保温与墙体空鼓剥落等质量隐患；</w:t>
      </w:r>
    </w:p>
    <w:p>
      <w:pPr>
        <w:ind w:firstLine="482" w:firstLineChars="200"/>
      </w:pPr>
      <w:r>
        <w:rPr>
          <w:b/>
          <w:bCs/>
        </w:rPr>
        <w:t>2</w:t>
      </w:r>
      <w:r>
        <w:rPr>
          <w:rFonts w:hint="eastAsia"/>
        </w:rPr>
        <w:t xml:space="preserve">  水电管线墙内</w:t>
      </w:r>
      <w:r>
        <w:t>集成化</w:t>
      </w:r>
      <w:r>
        <w:rPr>
          <w:rFonts w:hint="eastAsia"/>
        </w:rPr>
        <w:t>安装，避免现场开槽</w:t>
      </w:r>
      <w:r>
        <w:t>；</w:t>
      </w:r>
    </w:p>
    <w:p>
      <w:pPr>
        <w:ind w:firstLine="482" w:firstLineChars="200"/>
      </w:pPr>
      <w:r>
        <w:rPr>
          <w:rFonts w:hint="eastAsia"/>
          <w:b/>
          <w:bCs/>
        </w:rPr>
        <w:t>3</w:t>
      </w:r>
      <w:r>
        <w:rPr>
          <w:rFonts w:hint="eastAsia"/>
        </w:rPr>
        <w:t xml:space="preserve">  </w:t>
      </w:r>
      <w:r>
        <w:t>墙体预制率超过75%</w:t>
      </w:r>
      <w:r>
        <w:rPr>
          <w:rFonts w:hint="eastAsia"/>
        </w:rPr>
        <w:t>，</w:t>
      </w:r>
      <w:r>
        <w:t>工厂生产标准化；</w:t>
      </w:r>
    </w:p>
    <w:p>
      <w:pPr>
        <w:ind w:firstLine="482" w:firstLineChars="200"/>
      </w:pPr>
      <w:r>
        <w:rPr>
          <w:rFonts w:hint="eastAsia"/>
          <w:b/>
          <w:bCs/>
        </w:rPr>
        <w:t>4</w:t>
      </w:r>
      <w:r>
        <w:rPr>
          <w:rFonts w:hint="eastAsia"/>
        </w:rPr>
        <w:t xml:space="preserve">  </w:t>
      </w:r>
      <w:r>
        <w:t>缝隙及墙面板拼接部位</w:t>
      </w:r>
      <w:r>
        <w:rPr>
          <w:rFonts w:hint="eastAsia"/>
        </w:rPr>
        <w:t>现浇轻混凝土</w:t>
      </w:r>
      <w:r>
        <w:t>，整体性好，有效消除了墙体拼缝容易开裂的质量通病；工具式模板周转率高，安拆方便；</w:t>
      </w:r>
    </w:p>
    <w:p>
      <w:pPr>
        <w:ind w:firstLine="482" w:firstLineChars="200"/>
      </w:pPr>
      <w:r>
        <w:rPr>
          <w:rFonts w:hint="eastAsia"/>
          <w:b/>
          <w:bCs/>
        </w:rPr>
        <w:t>5</w:t>
      </w:r>
      <w:r>
        <w:rPr>
          <w:rFonts w:hint="eastAsia"/>
        </w:rPr>
        <w:t xml:space="preserve">  </w:t>
      </w:r>
      <w:r>
        <w:t xml:space="preserve">墙面板现场安装无切割、开槽，绿色环保，减少建造垃圾排放， </w:t>
      </w:r>
    </w:p>
    <w:p>
      <w:pPr>
        <w:ind w:firstLine="482" w:firstLineChars="200"/>
      </w:pPr>
      <w:r>
        <w:rPr>
          <w:rFonts w:hint="eastAsia"/>
          <w:b/>
          <w:bCs/>
        </w:rPr>
        <w:t>6</w:t>
      </w:r>
      <w:r>
        <w:rPr>
          <w:rFonts w:hint="eastAsia"/>
        </w:rPr>
        <w:t xml:space="preserve">  </w:t>
      </w:r>
      <w:r>
        <w:t>墙体综合性能好，</w:t>
      </w:r>
      <w:r>
        <w:rPr>
          <w:rFonts w:hint="eastAsia"/>
        </w:rPr>
        <w:t>墙体自重小，</w:t>
      </w:r>
      <w:r>
        <w:t>墙体面层强度高</w:t>
      </w:r>
      <w:r>
        <w:rPr>
          <w:rFonts w:hint="eastAsia"/>
        </w:rPr>
        <w:t>，</w:t>
      </w:r>
      <w:r>
        <w:t>直接吊挂重物</w:t>
      </w:r>
    </w:p>
    <w:p>
      <w:pPr>
        <w:ind w:firstLine="482" w:firstLineChars="200"/>
      </w:pPr>
      <w:r>
        <w:rPr>
          <w:rFonts w:hint="eastAsia"/>
          <w:b/>
          <w:bCs/>
        </w:rPr>
        <w:t>7</w:t>
      </w:r>
      <w:r>
        <w:rPr>
          <w:rFonts w:hint="eastAsia"/>
        </w:rPr>
        <w:t xml:space="preserve">  </w:t>
      </w:r>
      <w:r>
        <w:t>综合效益显著，同等条件下比轻质条板墙体造价节省10%左右。</w:t>
      </w:r>
    </w:p>
    <w:p>
      <w:pPr>
        <w:ind w:firstLine="480" w:firstLineChars="200"/>
      </w:pPr>
      <w:r>
        <w:t>装配式复合轻质墙体符合我国大力发展装配式建筑和新型墙体的产业政策，符合绿色施工和建筑工业化的行业发展方向。</w:t>
      </w:r>
    </w:p>
    <w:p>
      <w:r>
        <w:rPr>
          <w:b/>
          <w:bCs/>
        </w:rPr>
        <w:t>1.0.2 </w:t>
      </w:r>
      <w:r>
        <w:t>装配式复合轻质墙体可适用于抗震设防区的低层、多层及高层建筑的非承重外围护墙和内隔墙。</w:t>
      </w:r>
      <w:r>
        <w:rPr>
          <w:rFonts w:hint="eastAsia"/>
        </w:rPr>
        <w:t>根据墙体用于框架结构的拟静力试验，</w:t>
      </w:r>
      <w:r>
        <w:t>墙</w:t>
      </w:r>
      <w:r>
        <w:rPr>
          <w:rFonts w:hint="eastAsia"/>
        </w:rPr>
        <w:t>体在加载初期</w:t>
      </w:r>
      <w:r>
        <w:t>能与框架实现协同作用，</w:t>
      </w:r>
      <w:r>
        <w:rPr>
          <w:rFonts w:hint="eastAsia"/>
        </w:rPr>
        <w:t>随着位移角逐渐增大，</w:t>
      </w:r>
      <w:r>
        <w:t>墙</w:t>
      </w:r>
      <w:r>
        <w:rPr>
          <w:rFonts w:hint="eastAsia"/>
        </w:rPr>
        <w:t>体与框架梁柱间逐渐出现裂缝并有一定发展，但直至达1/50层间位移角，</w:t>
      </w:r>
      <w:r>
        <w:t>连接部位无明显破坏；</w:t>
      </w:r>
      <w:r>
        <w:rPr>
          <w:rFonts w:hint="eastAsia"/>
        </w:rPr>
        <w:t>加载至1/25层间位移角，</w:t>
      </w:r>
      <w:r>
        <w:t>墙</w:t>
      </w:r>
      <w:r>
        <w:rPr>
          <w:rFonts w:hint="eastAsia"/>
        </w:rPr>
        <w:t>体也未发生严重破坏，</w:t>
      </w:r>
      <w:r>
        <w:t>墙</w:t>
      </w:r>
      <w:r>
        <w:rPr>
          <w:rFonts w:hint="eastAsia"/>
        </w:rPr>
        <w:t>体仍能与框架梁有效连接，未出现</w:t>
      </w:r>
      <w:r>
        <w:t>墙</w:t>
      </w:r>
      <w:r>
        <w:rPr>
          <w:rFonts w:hint="eastAsia"/>
        </w:rPr>
        <w:t>体掉落等现象，</w:t>
      </w:r>
      <w:r>
        <w:t>墙</w:t>
      </w:r>
      <w:r>
        <w:rPr>
          <w:rFonts w:hint="eastAsia"/>
        </w:rPr>
        <w:t>体和框架协同工作性能优异，耗散地震能力较强。</w:t>
      </w:r>
    </w:p>
    <w:p>
      <w:r>
        <w:rPr>
          <w:rStyle w:val="22"/>
          <w:rFonts w:ascii="Times New Roman" w:hAnsi="Times New Roman" w:cs="Times New Roman"/>
        </w:rPr>
        <w:t>1.0.3</w:t>
      </w:r>
      <w:r>
        <w:rPr>
          <w:rFonts w:cs="Times New Roman"/>
        </w:rPr>
        <w:t> </w:t>
      </w:r>
      <w:r>
        <w:rPr>
          <w:rFonts w:hint="eastAsia"/>
        </w:rPr>
        <w:t>本条规定了本规程与其他标准、规范的关系。非承重</w:t>
      </w:r>
      <w:r>
        <w:t>墙体应符合国家有关非结构构件抗震、隔声、防火和环境保护的规定。凡国家现行标准中已有明确规定的，本标准原则上不再重复。</w:t>
      </w:r>
    </w:p>
    <w:p>
      <w:pPr>
        <w:snapToGrid w:val="0"/>
        <w:ind w:firstLine="420" w:firstLineChars="200"/>
        <w:rPr>
          <w:rFonts w:eastAsia="楷体" w:cs="Times New Roman"/>
          <w:sz w:val="21"/>
          <w:szCs w:val="21"/>
        </w:rPr>
      </w:pPr>
    </w:p>
    <w:p>
      <w:pPr>
        <w:snapToGrid w:val="0"/>
        <w:ind w:firstLine="420" w:firstLineChars="200"/>
        <w:rPr>
          <w:rFonts w:cs="Times New Roman"/>
          <w:sz w:val="21"/>
          <w:szCs w:val="21"/>
        </w:rPr>
      </w:pPr>
    </w:p>
    <w:p>
      <w:pPr>
        <w:snapToGrid w:val="0"/>
        <w:ind w:firstLine="420" w:firstLineChars="200"/>
        <w:rPr>
          <w:rFonts w:cs="Times New Roman"/>
          <w:sz w:val="21"/>
          <w:szCs w:val="21"/>
        </w:rPr>
      </w:pPr>
    </w:p>
    <w:p>
      <w:pPr>
        <w:snapToGrid w:val="0"/>
        <w:ind w:firstLine="420" w:firstLineChars="200"/>
        <w:rPr>
          <w:rFonts w:cs="Times New Roman"/>
          <w:sz w:val="21"/>
          <w:szCs w:val="21"/>
        </w:rPr>
      </w:pPr>
    </w:p>
    <w:p>
      <w:pPr>
        <w:snapToGrid w:val="0"/>
        <w:ind w:firstLine="420" w:firstLineChars="200"/>
        <w:rPr>
          <w:rFonts w:cs="Times New Roman"/>
          <w:sz w:val="21"/>
          <w:szCs w:val="21"/>
        </w:rPr>
      </w:pPr>
    </w:p>
    <w:p>
      <w:pPr>
        <w:snapToGrid w:val="0"/>
        <w:ind w:firstLine="420" w:firstLineChars="200"/>
        <w:rPr>
          <w:rFonts w:cs="Times New Roman"/>
          <w:sz w:val="21"/>
          <w:szCs w:val="21"/>
        </w:rPr>
      </w:pPr>
    </w:p>
    <w:p>
      <w:pPr>
        <w:snapToGrid w:val="0"/>
        <w:rPr>
          <w:rFonts w:cs="Times New Roman"/>
        </w:rPr>
        <w:sectPr>
          <w:footerReference r:id="rId10" w:type="default"/>
          <w:pgSz w:w="11906" w:h="16838"/>
          <w:pgMar w:top="1440" w:right="1800" w:bottom="1440" w:left="1800" w:header="851" w:footer="992" w:gutter="0"/>
          <w:cols w:space="425" w:num="1"/>
          <w:docGrid w:type="lines" w:linePitch="312" w:charSpace="0"/>
        </w:sectPr>
      </w:pPr>
    </w:p>
    <w:p>
      <w:pPr>
        <w:pStyle w:val="3"/>
        <w:snapToGrid w:val="0"/>
        <w:spacing w:before="0" w:after="0" w:line="360" w:lineRule="auto"/>
        <w:rPr>
          <w:rFonts w:ascii="Times New Roman" w:hAnsi="Times New Roman" w:cs="Times New Roman"/>
        </w:rPr>
      </w:pPr>
      <w:bookmarkStart w:id="135" w:name="_Toc10447"/>
      <w:bookmarkStart w:id="136" w:name="_Toc32056"/>
      <w:r>
        <w:rPr>
          <w:rFonts w:ascii="Times New Roman" w:hAnsi="Times New Roman" w:cs="Times New Roman"/>
        </w:rPr>
        <w:t>3  材  料</w:t>
      </w:r>
      <w:bookmarkEnd w:id="135"/>
      <w:bookmarkEnd w:id="136"/>
    </w:p>
    <w:p>
      <w:bookmarkStart w:id="137" w:name="_Toc13867"/>
    </w:p>
    <w:p>
      <w:pPr>
        <w:pStyle w:val="4"/>
        <w:snapToGrid w:val="0"/>
        <w:spacing w:before="0" w:after="0" w:line="360" w:lineRule="auto"/>
        <w:rPr>
          <w:rFonts w:ascii="Times New Roman" w:hAnsi="Times New Roman" w:cs="Times New Roman"/>
        </w:rPr>
      </w:pPr>
      <w:bookmarkStart w:id="138" w:name="_Toc27082"/>
      <w:r>
        <w:rPr>
          <w:rFonts w:ascii="Times New Roman" w:hAnsi="Times New Roman" w:cs="Times New Roman"/>
        </w:rPr>
        <w:t>3.1  一般规定</w:t>
      </w:r>
      <w:bookmarkEnd w:id="137"/>
      <w:bookmarkEnd w:id="138"/>
    </w:p>
    <w:p>
      <w:r>
        <w:rPr>
          <w:rStyle w:val="22"/>
          <w:rFonts w:ascii="Times New Roman" w:hAnsi="Times New Roman" w:cs="Times New Roman"/>
        </w:rPr>
        <w:t>3.1.1</w:t>
      </w:r>
      <w:r>
        <w:rPr>
          <w:rFonts w:cs="Times New Roman"/>
        </w:rPr>
        <w:t> </w:t>
      </w:r>
      <w:r>
        <w:t>装配式复合轻质墙体应使用符合国家节能、节材、环保等产业政策的原材料，不仅应对人体无害，而且不应对环境造成污染，能够实现资源综合利用。不得使用国家明令禁止使用的材料和制品，如黏土制品、石棉及含石棉制品，未经改性的菱苦土制品以及含有辐射超标的各类工业废渣等。装配式复合轻质墙体施工配套材料的选用是保证墙体质量的重要因素。</w:t>
      </w:r>
    </w:p>
    <w:p>
      <w:r>
        <w:rPr>
          <w:rStyle w:val="22"/>
          <w:rFonts w:ascii="Times New Roman" w:hAnsi="Times New Roman" w:cs="Times New Roman"/>
        </w:rPr>
        <w:t>3.1.2</w:t>
      </w:r>
      <w:r>
        <w:rPr>
          <w:rFonts w:cs="Times New Roman"/>
        </w:rPr>
        <w:t> </w:t>
      </w:r>
      <w:r>
        <w:t>墙体直接与人的生活、工作、活动环境相接触，影响人体健康和环境质量。</w:t>
      </w:r>
      <w:r>
        <w:rPr>
          <w:rFonts w:hint="eastAsia"/>
        </w:rPr>
        <w:t>墙体的核素放射性对环境及人体可构成严重危害，要严格禁止应用核素限量超出国家相关标准的墙体材料。墙体中天然天然放射性核素镭-226、钍-232、钾-40的放射性比活度应同时满足内照射指数(I</w:t>
      </w:r>
      <w:r>
        <w:rPr>
          <w:rFonts w:cs="Times New Roman"/>
          <w:sz w:val="18"/>
          <w:szCs w:val="18"/>
        </w:rPr>
        <w:t>Ra</w:t>
      </w:r>
      <w:r>
        <w:rPr>
          <w:rFonts w:hint="eastAsia"/>
        </w:rPr>
        <w:t>)不大于1.0和外照射指数(I</w:t>
      </w:r>
      <w:r>
        <w:rPr>
          <w:rFonts w:cs="Times New Roman"/>
          <w:sz w:val="18"/>
          <w:szCs w:val="18"/>
        </w:rPr>
        <w:t>γ</w:t>
      </w:r>
      <w:r>
        <w:rPr>
          <w:rFonts w:hint="eastAsia"/>
        </w:rPr>
        <w:t>)不大于1.0。</w:t>
      </w:r>
    </w:p>
    <w:p>
      <w:bookmarkStart w:id="139" w:name="_Toc25069"/>
    </w:p>
    <w:p>
      <w:pPr>
        <w:pStyle w:val="4"/>
        <w:snapToGrid w:val="0"/>
        <w:spacing w:before="0" w:after="0" w:line="360" w:lineRule="auto"/>
        <w:rPr>
          <w:rFonts w:ascii="Times New Roman" w:hAnsi="Times New Roman" w:cs="Times New Roman"/>
        </w:rPr>
      </w:pPr>
      <w:bookmarkStart w:id="140" w:name="_Toc13983"/>
      <w:r>
        <w:rPr>
          <w:rFonts w:ascii="Times New Roman" w:hAnsi="Times New Roman" w:cs="Times New Roman"/>
        </w:rPr>
        <w:t>3.2  墙面板</w:t>
      </w:r>
      <w:bookmarkEnd w:id="139"/>
      <w:bookmarkEnd w:id="140"/>
    </w:p>
    <w:p>
      <w:r>
        <w:rPr>
          <w:rStyle w:val="22"/>
          <w:rFonts w:ascii="Times New Roman" w:hAnsi="Times New Roman" w:cs="Times New Roman"/>
        </w:rPr>
        <w:t>3.2.1</w:t>
      </w:r>
      <w:r>
        <w:rPr>
          <w:rFonts w:cs="Times New Roman"/>
        </w:rPr>
        <w:t> </w:t>
      </w:r>
      <w:r>
        <w:rPr>
          <w:rFonts w:hint="eastAsia" w:cs="Times New Roman"/>
        </w:rPr>
        <w:t>条文</w:t>
      </w:r>
      <w:r>
        <w:t>规定了装配式复合轻质墙体墙面板材料选用。为了提高墙板的性能，预制构件也可以掺入碳纤维、钢纤维等，指标应符合国家现行相关标准的规定；当无相关标准时，应通过试验确认其适用性，并确定相关性能指标。</w:t>
      </w:r>
    </w:p>
    <w:p>
      <w:pPr>
        <w:ind w:firstLine="480" w:firstLineChars="200"/>
      </w:pPr>
      <w:r>
        <w:t>为了提高墙</w:t>
      </w:r>
      <w:r>
        <w:rPr>
          <w:rFonts w:hint="eastAsia"/>
        </w:rPr>
        <w:t>面</w:t>
      </w:r>
      <w:r>
        <w:t>板的性能，预制构件也可以掺入碳纤维、钢纤维等，指标应符合国家现行相关标准的规定；当无相关标准时，应通过试验确认其适用性，并确定相关性能指标。</w:t>
      </w:r>
    </w:p>
    <w:p>
      <w:r>
        <w:rPr>
          <w:rStyle w:val="22"/>
          <w:rFonts w:ascii="Times New Roman" w:hAnsi="Times New Roman" w:cs="Times New Roman"/>
        </w:rPr>
        <w:t>3.2.2</w:t>
      </w:r>
      <w:r>
        <w:rPr>
          <w:rFonts w:cs="Times New Roman"/>
        </w:rPr>
        <w:t>  </w:t>
      </w:r>
      <w:r>
        <w:rPr>
          <w:rFonts w:hint="eastAsia"/>
        </w:rPr>
        <w:t>墙面板、洞口板和过梁板等预制构件采用钢丝和</w:t>
      </w:r>
      <w:r>
        <w:t>混凝土</w:t>
      </w:r>
      <w:r>
        <w:rPr>
          <w:rFonts w:hint="eastAsia"/>
        </w:rPr>
        <w:t>材料在</w:t>
      </w:r>
      <w:r>
        <w:t>工厂预制，</w:t>
      </w:r>
      <w:r>
        <w:rPr>
          <w:rFonts w:hint="eastAsia"/>
        </w:rPr>
        <w:t>为确保其质量和性能，在运输、安装和使用过程中不发生破坏，规定了预制构件所用细石混凝土的强度等级。对于二次结构的构造柱、构造梁的钢筋直径不受本条限制。</w:t>
      </w:r>
    </w:p>
    <w:p>
      <w:r>
        <w:rPr>
          <w:b/>
          <w:bCs/>
        </w:rPr>
        <w:t>3.2.3</w:t>
      </w:r>
      <w:r>
        <w:t xml:space="preserve">  </w:t>
      </w:r>
      <w:r>
        <w:rPr>
          <w:rFonts w:hint="eastAsia"/>
        </w:rPr>
        <w:t>墙面板厚度较薄，一般为6</w:t>
      </w:r>
      <w:r>
        <w:t>0mm</w:t>
      </w:r>
      <w:r>
        <w:rPr>
          <w:rFonts w:hint="eastAsia"/>
        </w:rPr>
        <w:t>，并且中间有钢丝网，故其粗骨料粒径不能太大。</w:t>
      </w:r>
    </w:p>
    <w:p/>
    <w:p>
      <w:pPr>
        <w:pStyle w:val="4"/>
        <w:snapToGrid w:val="0"/>
        <w:spacing w:before="0" w:after="0" w:line="360" w:lineRule="auto"/>
        <w:rPr>
          <w:rFonts w:ascii="Times New Roman" w:hAnsi="Times New Roman" w:cs="Times New Roman"/>
        </w:rPr>
      </w:pPr>
      <w:bookmarkStart w:id="141" w:name="_Toc2435"/>
      <w:bookmarkStart w:id="142" w:name="_Toc1154"/>
      <w:r>
        <w:rPr>
          <w:rFonts w:ascii="Times New Roman" w:hAnsi="Times New Roman" w:cs="Times New Roman"/>
        </w:rPr>
        <w:t>3.3  </w:t>
      </w:r>
      <w:r>
        <w:rPr>
          <w:rFonts w:hint="eastAsia" w:ascii="Times New Roman" w:hAnsi="Times New Roman" w:cs="Times New Roman"/>
        </w:rPr>
        <w:t>注仓</w:t>
      </w:r>
      <w:r>
        <w:rPr>
          <w:rFonts w:ascii="Times New Roman" w:hAnsi="Times New Roman" w:cs="Times New Roman"/>
        </w:rPr>
        <w:t>料</w:t>
      </w:r>
      <w:bookmarkEnd w:id="141"/>
      <w:bookmarkEnd w:id="142"/>
    </w:p>
    <w:p>
      <w:r>
        <w:rPr>
          <w:rStyle w:val="22"/>
          <w:rFonts w:ascii="Times New Roman" w:hAnsi="Times New Roman" w:cs="Times New Roman"/>
        </w:rPr>
        <w:t>3.3.1</w:t>
      </w:r>
      <w:r>
        <w:rPr>
          <w:rFonts w:cs="Times New Roman"/>
        </w:rPr>
        <w:t>  </w:t>
      </w:r>
      <w:r>
        <w:rPr>
          <w:rFonts w:hint="eastAsia"/>
        </w:rPr>
        <w:t>条文规定了装配式复合轻质墙体中注仓料石膏基轻混凝土、泡沫混凝土、聚苯颗粒混凝土和镁基轻混凝土的要求。</w:t>
      </w:r>
    </w:p>
    <w:p>
      <w:r>
        <w:rPr>
          <w:rStyle w:val="22"/>
          <w:rFonts w:ascii="Times New Roman" w:hAnsi="Times New Roman" w:cs="Times New Roman"/>
        </w:rPr>
        <w:t>3.3.2</w:t>
      </w:r>
      <w:r>
        <w:rPr>
          <w:rFonts w:cs="Times New Roman"/>
        </w:rPr>
        <w:t>  </w:t>
      </w:r>
      <w:r>
        <w:rPr>
          <w:rFonts w:hint="eastAsia" w:cs="Times New Roman"/>
        </w:rPr>
        <w:t>用于注仓料的轻混凝土应具有一定强度，注仓料作用为对墙面板和保温隔热材料进行粘结复合，因此规定抗压强度平均值不宜低于3.0</w:t>
      </w:r>
      <w:r>
        <w:rPr>
          <w:rFonts w:cs="Times New Roman"/>
        </w:rPr>
        <w:t>N/mm²</w:t>
      </w:r>
      <w:r>
        <w:rPr>
          <w:rFonts w:hint="eastAsia" w:cs="Times New Roman"/>
        </w:rPr>
        <w:t>，单块抗压强度最小值不宜低于平均值的85%。</w:t>
      </w:r>
    </w:p>
    <w:p>
      <w:pPr>
        <w:ind w:firstLine="480" w:firstLineChars="200"/>
      </w:pPr>
      <w:r>
        <w:t>装配式复合轻质墙体的保温、隔声性能与填充材料的密度相关。经试验验证，轻混凝土的表观密度达到400kg/m³时，装配式复合轻质墙体具有良好的保温、隔声性能。</w:t>
      </w:r>
    </w:p>
    <w:p>
      <w:pPr>
        <w:ind w:firstLine="480" w:firstLineChars="200"/>
      </w:pPr>
    </w:p>
    <w:p>
      <w:pPr>
        <w:pStyle w:val="4"/>
        <w:snapToGrid w:val="0"/>
        <w:spacing w:before="0" w:after="0" w:line="360" w:lineRule="auto"/>
        <w:rPr>
          <w:rFonts w:ascii="Times New Roman" w:hAnsi="Times New Roman" w:cs="Times New Roman"/>
        </w:rPr>
      </w:pPr>
      <w:bookmarkStart w:id="143" w:name="_Toc17949"/>
      <w:bookmarkStart w:id="144" w:name="_Toc4774"/>
      <w:r>
        <w:rPr>
          <w:rFonts w:ascii="Times New Roman" w:hAnsi="Times New Roman" w:cs="Times New Roman"/>
        </w:rPr>
        <w:t>3.4  保温</w:t>
      </w:r>
      <w:r>
        <w:rPr>
          <w:rFonts w:hint="eastAsia" w:ascii="Times New Roman" w:hAnsi="Times New Roman" w:cs="Times New Roman"/>
        </w:rPr>
        <w:t>板</w:t>
      </w:r>
      <w:bookmarkEnd w:id="143"/>
      <w:bookmarkEnd w:id="144"/>
    </w:p>
    <w:p>
      <w:pPr>
        <w:rPr>
          <w:rFonts w:cs="Times New Roman"/>
        </w:rPr>
      </w:pPr>
      <w:r>
        <w:rPr>
          <w:rStyle w:val="22"/>
          <w:rFonts w:ascii="Times New Roman" w:hAnsi="Times New Roman" w:cs="Times New Roman"/>
        </w:rPr>
        <w:t>3.4.1</w:t>
      </w:r>
      <w:r>
        <w:rPr>
          <w:rFonts w:cs="Times New Roman"/>
        </w:rPr>
        <w:t> </w:t>
      </w:r>
      <w:r>
        <w:rPr>
          <w:rFonts w:hint="eastAsia" w:cs="Times New Roman"/>
        </w:rPr>
        <w:t xml:space="preserve"> </w:t>
      </w:r>
      <w:r>
        <w:rPr>
          <w:rFonts w:hint="eastAsia"/>
        </w:rPr>
        <w:t>条文规定了装配式轻质墙体中</w:t>
      </w:r>
      <w:r>
        <w:rPr>
          <w:rFonts w:cs="Times New Roman"/>
        </w:rPr>
        <w:t>模塑聚苯板、挤塑聚苯</w:t>
      </w:r>
      <w:r>
        <w:rPr>
          <w:rFonts w:hint="eastAsia" w:cs="Times New Roman"/>
        </w:rPr>
        <w:t>板</w:t>
      </w:r>
      <w:r>
        <w:rPr>
          <w:rFonts w:cs="Times New Roman"/>
        </w:rPr>
        <w:t>、硬泡聚氨酯板塑料</w:t>
      </w:r>
      <w:r>
        <w:rPr>
          <w:rFonts w:hint="eastAsia"/>
        </w:rPr>
        <w:t>的要求。</w:t>
      </w:r>
    </w:p>
    <w:p>
      <w:pPr>
        <w:snapToGrid w:val="0"/>
      </w:pPr>
      <w:r>
        <w:rPr>
          <w:rStyle w:val="22"/>
          <w:rFonts w:hint="eastAsia" w:ascii="Times New Roman" w:hAnsi="Times New Roman" w:cs="Times New Roman"/>
        </w:rPr>
        <w:t>3.4.5</w:t>
      </w:r>
      <w:r>
        <w:rPr>
          <w:rStyle w:val="22"/>
          <w:rFonts w:hint="eastAsia" w:cs="Times New Roman"/>
        </w:rPr>
        <w:t xml:space="preserve">  </w:t>
      </w:r>
      <w:r>
        <w:t>模塑聚苯板、挤塑聚苯</w:t>
      </w:r>
      <w:r>
        <w:rPr>
          <w:rFonts w:hint="eastAsia"/>
        </w:rPr>
        <w:t>板在工程应用前经过一定条件、一定时间的陈化，防止聚苯板因后收缩而造成与注仓料剥离，在墙体内部产生空隙。聚苯板陈化，可使制品的尺寸基本稳定，满足尺寸稳定性的要求。本条对聚苯板的陈化要求系参照美国标准ASTM2430</w:t>
      </w:r>
      <w:r>
        <w:t>——</w:t>
      </w:r>
      <w:r>
        <w:rPr>
          <w:rFonts w:hint="eastAsia"/>
        </w:rPr>
        <w:t>2005《外墙外保温及饰面孔应用膨胀聚苯乙烯泡沫(EPS)》的相关规定。</w:t>
      </w:r>
    </w:p>
    <w:p>
      <w:pPr>
        <w:snapToGrid w:val="0"/>
      </w:pPr>
    </w:p>
    <w:p>
      <w:pPr>
        <w:pStyle w:val="4"/>
        <w:snapToGrid w:val="0"/>
        <w:spacing w:before="0" w:after="0" w:line="360" w:lineRule="auto"/>
        <w:rPr>
          <w:rFonts w:cs="宋体"/>
        </w:rPr>
      </w:pPr>
      <w:bookmarkStart w:id="145" w:name="_Toc6764"/>
      <w:bookmarkStart w:id="146" w:name="_Toc512"/>
      <w:r>
        <w:rPr>
          <w:rFonts w:hint="eastAsia" w:ascii="Times New Roman" w:hAnsi="Times New Roman" w:cs="Times New Roman"/>
        </w:rPr>
        <w:t>3.5</w:t>
      </w:r>
      <w:r>
        <w:rPr>
          <w:rFonts w:hint="eastAsia" w:cs="宋体"/>
        </w:rPr>
        <w:t>  </w:t>
      </w:r>
      <w:r>
        <w:rPr>
          <w:rFonts w:hint="eastAsia"/>
        </w:rPr>
        <w:t>钢丝</w:t>
      </w:r>
      <w:bookmarkEnd w:id="145"/>
      <w:bookmarkEnd w:id="146"/>
    </w:p>
    <w:p>
      <w:r>
        <w:rPr>
          <w:rStyle w:val="22"/>
          <w:rFonts w:hint="eastAsia" w:ascii="Times New Roman" w:hAnsi="Times New Roman" w:cs="Times New Roman"/>
        </w:rPr>
        <w:t>3.5.1</w:t>
      </w:r>
      <w:r>
        <w:rPr>
          <w:rStyle w:val="22"/>
          <w:rFonts w:hint="eastAsia" w:cs="宋体"/>
        </w:rPr>
        <w:t xml:space="preserve"> </w:t>
      </w:r>
      <w:r>
        <w:rPr>
          <w:rFonts w:hint="eastAsia"/>
        </w:rPr>
        <w:t>墙面板中配置的钢丝宜为冷拔钢丝，洞口板、过梁板等其它构件用钢筋不受本条限制，配筋可按相关标准选用。</w:t>
      </w:r>
    </w:p>
    <w:p/>
    <w:p>
      <w:pPr>
        <w:pStyle w:val="4"/>
        <w:snapToGrid w:val="0"/>
        <w:spacing w:before="0" w:after="0" w:line="360" w:lineRule="auto"/>
        <w:rPr>
          <w:rFonts w:ascii="Times New Roman" w:hAnsi="Times New Roman" w:cs="Times New Roman"/>
        </w:rPr>
      </w:pPr>
      <w:bookmarkStart w:id="147" w:name="_Toc8981"/>
      <w:bookmarkStart w:id="148" w:name="_Toc21141"/>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  连接材料</w:t>
      </w:r>
      <w:bookmarkEnd w:id="147"/>
      <w:bookmarkEnd w:id="148"/>
    </w:p>
    <w:p>
      <w:r>
        <w:rPr>
          <w:rStyle w:val="22"/>
          <w:rFonts w:ascii="Times New Roman" w:hAnsi="Times New Roman" w:cs="Times New Roman"/>
        </w:rPr>
        <w:t>3.</w:t>
      </w:r>
      <w:r>
        <w:rPr>
          <w:rStyle w:val="22"/>
          <w:rFonts w:hint="eastAsia" w:ascii="Times New Roman" w:hAnsi="Times New Roman" w:cs="Times New Roman"/>
        </w:rPr>
        <w:t>6</w:t>
      </w:r>
      <w:r>
        <w:rPr>
          <w:rStyle w:val="22"/>
          <w:rFonts w:ascii="Times New Roman" w:hAnsi="Times New Roman" w:cs="Times New Roman"/>
        </w:rPr>
        <w:t>.1</w:t>
      </w:r>
      <w:r>
        <w:rPr>
          <w:rFonts w:cs="Times New Roman"/>
        </w:rPr>
        <w:t> </w:t>
      </w:r>
      <w:r>
        <w:t>为做到快速、 简便、可靠地安装和连接，对专用连接件的材质、规格和主要形式作了规定。</w:t>
      </w:r>
    </w:p>
    <w:p>
      <w:pPr>
        <w:pStyle w:val="3"/>
        <w:snapToGrid w:val="0"/>
        <w:spacing w:before="0" w:after="0"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3"/>
        <w:snapToGrid w:val="0"/>
        <w:spacing w:before="0" w:after="0" w:line="360" w:lineRule="auto"/>
        <w:rPr>
          <w:rFonts w:ascii="Times New Roman" w:hAnsi="Times New Roman" w:cs="Times New Roman"/>
        </w:rPr>
      </w:pPr>
      <w:bookmarkStart w:id="149" w:name="_Toc32027"/>
      <w:bookmarkStart w:id="150" w:name="_Toc20618"/>
      <w:r>
        <w:rPr>
          <w:rFonts w:ascii="Times New Roman" w:hAnsi="Times New Roman" w:cs="Times New Roman"/>
        </w:rPr>
        <w:t>4  设  计</w:t>
      </w:r>
      <w:bookmarkEnd w:id="149"/>
      <w:bookmarkEnd w:id="150"/>
    </w:p>
    <w:p>
      <w:bookmarkStart w:id="151" w:name="_Toc21069"/>
    </w:p>
    <w:p>
      <w:pPr>
        <w:pStyle w:val="4"/>
        <w:snapToGrid w:val="0"/>
        <w:spacing w:before="0" w:after="0" w:line="360" w:lineRule="auto"/>
        <w:rPr>
          <w:rFonts w:ascii="Times New Roman" w:hAnsi="Times New Roman" w:cs="Times New Roman"/>
        </w:rPr>
      </w:pPr>
      <w:bookmarkStart w:id="152" w:name="_Toc22308"/>
      <w:r>
        <w:rPr>
          <w:rFonts w:ascii="Times New Roman" w:hAnsi="Times New Roman" w:cs="Times New Roman"/>
        </w:rPr>
        <w:t>4.1  一般规定</w:t>
      </w:r>
      <w:bookmarkEnd w:id="151"/>
      <w:bookmarkEnd w:id="152"/>
    </w:p>
    <w:p>
      <w:r>
        <w:rPr>
          <w:rStyle w:val="22"/>
          <w:rFonts w:ascii="Times New Roman" w:hAnsi="Times New Roman" w:cs="Times New Roman"/>
        </w:rPr>
        <w:t>4.1.1</w:t>
      </w:r>
      <w:r>
        <w:rPr>
          <w:rFonts w:hint="eastAsia" w:cs="Times New Roman"/>
        </w:rPr>
        <w:t xml:space="preserve">  </w:t>
      </w:r>
      <w:r>
        <w:t>不同建筑功能和使用环境对隔墙的耐火极限、隔声性能的要求不同。</w:t>
      </w:r>
    </w:p>
    <w:p>
      <w:pPr>
        <w:rPr>
          <w:rFonts w:ascii="楷体" w:hAnsi="楷体" w:eastAsia="楷体" w:cs="Times New Roman"/>
          <w:szCs w:val="21"/>
        </w:rPr>
      </w:pPr>
      <w:r>
        <w:rPr>
          <w:rStyle w:val="22"/>
          <w:rFonts w:ascii="Times New Roman" w:hAnsi="Times New Roman" w:cs="Times New Roman"/>
        </w:rPr>
        <w:t>4.1.</w:t>
      </w:r>
      <w:r>
        <w:rPr>
          <w:rStyle w:val="22"/>
          <w:rFonts w:hint="eastAsia" w:ascii="Times New Roman" w:hAnsi="Times New Roman" w:cs="Times New Roman"/>
        </w:rPr>
        <w:t>3</w:t>
      </w:r>
      <w:r>
        <w:rPr>
          <w:rFonts w:cs="Times New Roman"/>
        </w:rPr>
        <w:t> </w:t>
      </w:r>
      <w:r>
        <w:rPr>
          <w:rFonts w:hint="eastAsia" w:cs="Times New Roman"/>
        </w:rPr>
        <w:t xml:space="preserve"> </w:t>
      </w:r>
      <w:r>
        <w:rPr>
          <w:rFonts w:hint="eastAsia"/>
        </w:rPr>
        <w:t>按《建筑构件耐火试验方法 第1部分:通用要求》（GB/T 9978.1-2008）和《建筑构件耐火试验方法 第8部分:非承重垂直分隔构件的特殊要求》（GB/T 9978.8-2008）的要求，选择两种墙体典型构造进行了墙体耐火试验。基于试验结果，提出了满足不同耐火极限要求的墙体构造。在防火试验中，由于保温隔热材料安装在墙面板之间，并使用注仓料包裹，采用不同的构造形式，耐火极限可达到1.0h、2.0h。当对墙体耐火极限有更高要求时，如防火墙，应采用燃烧性能等级为A级的保温隔热材料或全部采用A级注仓料填充。</w:t>
      </w:r>
    </w:p>
    <w:p>
      <w:r>
        <w:rPr>
          <w:rStyle w:val="22"/>
          <w:rFonts w:hint="eastAsia" w:ascii="Times New Roman" w:hAnsi="Times New Roman" w:cs="Times New Roman"/>
        </w:rPr>
        <w:t>4.1.4</w:t>
      </w:r>
      <w:r>
        <w:rPr>
          <w:rFonts w:hint="eastAsia"/>
        </w:rPr>
        <w:t xml:space="preserve">  </w:t>
      </w:r>
      <w:r>
        <w:t>依据现行国家标准《建筑设计防火规范》GB 50016的规定，建筑的外围护结构采用</w:t>
      </w:r>
      <w:r>
        <w:rPr>
          <w:rFonts w:cs="Times New Roman"/>
        </w:rPr>
        <w:t>保温</w:t>
      </w:r>
      <w:r>
        <w:rPr>
          <w:rFonts w:hint="eastAsia" w:cs="Times New Roman"/>
        </w:rPr>
        <w:t>板</w:t>
      </w:r>
      <w:r>
        <w:t>与两侧不燃性结构构成无空腔复合保温结构体时，该复合保温结构体的耐火极限不应低于所在外围护结构的耐火性能要求。当</w:t>
      </w:r>
      <w:r>
        <w:rPr>
          <w:rFonts w:cs="Times New Roman"/>
        </w:rPr>
        <w:t>保温</w:t>
      </w:r>
      <w:r>
        <w:rPr>
          <w:rFonts w:hint="eastAsia" w:cs="Times New Roman"/>
        </w:rPr>
        <w:t>板</w:t>
      </w:r>
      <w:r>
        <w:t>的燃烧性能为B</w:t>
      </w:r>
      <w:r>
        <w:rPr>
          <w:sz w:val="18"/>
          <w:szCs w:val="18"/>
        </w:rPr>
        <w:t>1</w:t>
      </w:r>
      <w:r>
        <w:t>级或B</w:t>
      </w:r>
      <w:r>
        <w:rPr>
          <w:sz w:val="18"/>
          <w:szCs w:val="18"/>
        </w:rPr>
        <w:t>2</w:t>
      </w:r>
      <w:r>
        <w:t>级时，</w:t>
      </w:r>
      <w:r>
        <w:rPr>
          <w:rFonts w:cs="Times New Roman"/>
        </w:rPr>
        <w:t>保温</w:t>
      </w:r>
      <w:r>
        <w:rPr>
          <w:rFonts w:hint="eastAsia" w:cs="Times New Roman"/>
        </w:rPr>
        <w:t>板</w:t>
      </w:r>
      <w:r>
        <w:t>两侧不燃性结构的厚度均不应小于50mm。</w:t>
      </w:r>
    </w:p>
    <w:p>
      <w:r>
        <w:rPr>
          <w:rStyle w:val="22"/>
          <w:rFonts w:ascii="Times New Roman" w:hAnsi="Times New Roman" w:cs="Times New Roman"/>
        </w:rPr>
        <w:t>4.1.</w:t>
      </w:r>
      <w:r>
        <w:rPr>
          <w:rStyle w:val="22"/>
          <w:rFonts w:hint="eastAsia" w:ascii="Times New Roman" w:hAnsi="Times New Roman" w:cs="Times New Roman"/>
        </w:rPr>
        <w:t>5</w:t>
      </w:r>
      <w:r>
        <w:rPr>
          <w:rFonts w:cs="Times New Roman"/>
        </w:rPr>
        <w:t>  </w:t>
      </w:r>
      <w:r>
        <w:t>隔声性能是反映房屋舒适性的重要指标之一。不同建筑功能、不同部位的隔墙隔声性能要求不同，设计时可参照现行国家标准《民用建筑隔声设计规范》GB 5118的规定。</w:t>
      </w:r>
    </w:p>
    <w:p>
      <w:r>
        <w:rPr>
          <w:rStyle w:val="22"/>
          <w:rFonts w:ascii="Times New Roman" w:hAnsi="Times New Roman" w:cs="Times New Roman"/>
        </w:rPr>
        <w:t>4.1.</w:t>
      </w:r>
      <w:r>
        <w:rPr>
          <w:rStyle w:val="22"/>
          <w:rFonts w:hint="eastAsia" w:ascii="Times New Roman" w:hAnsi="Times New Roman" w:cs="Times New Roman"/>
        </w:rPr>
        <w:t>6</w:t>
      </w:r>
      <w:r>
        <w:rPr>
          <w:rFonts w:cs="Times New Roman"/>
        </w:rPr>
        <w:t>  </w:t>
      </w:r>
      <w:r>
        <w:t>设计时，应根据不同部位</w:t>
      </w:r>
      <w:r>
        <w:rPr>
          <w:rFonts w:hint="eastAsia"/>
        </w:rPr>
        <w:t>墙体</w:t>
      </w:r>
      <w:r>
        <w:t>的空气隔声要求，选择相应的</w:t>
      </w:r>
      <w:r>
        <w:rPr>
          <w:rFonts w:hint="eastAsia"/>
        </w:rPr>
        <w:t>墙体</w:t>
      </w:r>
      <w:r>
        <w:t>构造。空气声计权隔声量可通过实验室测量或按照以下公式计算：</w:t>
      </w:r>
    </w:p>
    <w:p>
      <w:r>
        <w:t>1  综合面密度</w:t>
      </w:r>
      <w:r>
        <w:rPr>
          <w:rFonts w:hint="eastAsia" w:ascii="宋体" w:hAnsi="宋体" w:cs="宋体"/>
        </w:rPr>
        <w:t>≥</w:t>
      </w:r>
      <w:r>
        <w:t>200kg/m²</w:t>
      </w:r>
    </w:p>
    <w:p>
      <m:oMathPara>
        <m:oMath>
          <m:r>
            <m:rPr/>
            <w:rPr>
              <w:rFonts w:ascii="Cambria Math" w:hAnsi="Cambria Math"/>
            </w:rPr>
            <m:t>R</m:t>
          </m:r>
          <m:r>
            <m:rPr>
              <m:sty m:val="p"/>
            </m:rPr>
            <w:rPr>
              <w:rFonts w:ascii="Cambria Math" w:hAnsi="Cambria Math"/>
            </w:rPr>
            <m:t>=23lg</m:t>
          </m:r>
          <m:r>
            <m:rPr/>
            <w:rPr>
              <w:rFonts w:ascii="Cambria Math" w:hAnsi="Cambria Math"/>
            </w:rPr>
            <m:t>m</m:t>
          </m:r>
          <m:r>
            <m:rPr>
              <m:sty m:val="p"/>
            </m:rPr>
            <w:rPr>
              <w:rFonts w:ascii="Cambria Math" w:hAnsi="Cambria Math"/>
            </w:rPr>
            <m:t>−9</m:t>
          </m:r>
        </m:oMath>
      </m:oMathPara>
    </w:p>
    <w:p>
      <w:r>
        <w:t>2  综合面密度</w:t>
      </w:r>
      <w:r>
        <w:rPr>
          <w:rFonts w:hint="eastAsia" w:ascii="宋体" w:hAnsi="宋体" w:cs="宋体"/>
        </w:rPr>
        <w:t>≤</w:t>
      </w:r>
      <w:r>
        <w:t>200kg/m²</w:t>
      </w:r>
    </w:p>
    <w:p>
      <m:oMathPara>
        <m:oMath>
          <m:r>
            <m:rPr/>
            <w:rPr>
              <w:rFonts w:ascii="Cambria Math" w:hAnsi="Cambria Math"/>
            </w:rPr>
            <m:t>R</m:t>
          </m:r>
          <m:r>
            <m:rPr>
              <m:sty m:val="p"/>
            </m:rPr>
            <w:rPr>
              <w:rFonts w:ascii="Cambria Math" w:hAnsi="Cambria Math"/>
            </w:rPr>
            <m:t>=13.5lg</m:t>
          </m:r>
          <m:r>
            <m:rPr/>
            <w:rPr>
              <w:rFonts w:ascii="Cambria Math" w:hAnsi="Cambria Math"/>
            </w:rPr>
            <m:t>m</m:t>
          </m:r>
          <m:r>
            <m:rPr>
              <m:sty m:val="p"/>
            </m:rPr>
            <w:rPr>
              <w:rFonts w:ascii="Cambria Math" w:hAnsi="Cambria Math"/>
            </w:rPr>
            <m:t>+13</m:t>
          </m:r>
        </m:oMath>
      </m:oMathPara>
    </w:p>
    <w:p>
      <w:r>
        <w:t>式中：</w:t>
      </w:r>
      <w:r>
        <w:rPr>
          <w:i/>
          <w:iCs/>
        </w:rPr>
        <w:t>m</w:t>
      </w:r>
      <w:r>
        <w:t>——建筑围护结构综合面密度（kg/m²）</w:t>
      </w:r>
      <w:r>
        <w:rPr>
          <w:rFonts w:hint="eastAsia"/>
        </w:rPr>
        <w:t>；</w:t>
      </w:r>
    </w:p>
    <w:p>
      <w:pPr>
        <w:ind w:firstLine="720" w:firstLineChars="300"/>
        <w:rPr>
          <w:rFonts w:eastAsia="楷体" w:cs="Times New Roman"/>
          <w:sz w:val="21"/>
          <w:szCs w:val="21"/>
        </w:rPr>
      </w:pPr>
      <w:r>
        <w:rPr>
          <w:i/>
          <w:iCs/>
        </w:rPr>
        <w:t>R</w:t>
      </w:r>
      <w:r>
        <w:t>——空气声计权隔声量（dB）。</w:t>
      </w:r>
    </w:p>
    <w:p>
      <w:r>
        <w:rPr>
          <w:rStyle w:val="22"/>
          <w:rFonts w:ascii="Times New Roman" w:hAnsi="Times New Roman" w:cs="Times New Roman"/>
        </w:rPr>
        <w:t>4.1.</w:t>
      </w:r>
      <w:r>
        <w:rPr>
          <w:rStyle w:val="22"/>
          <w:rFonts w:hint="eastAsia" w:ascii="Times New Roman" w:hAnsi="Times New Roman" w:cs="Times New Roman"/>
        </w:rPr>
        <w:t>7</w:t>
      </w:r>
      <w:r>
        <w:rPr>
          <w:rFonts w:cs="Times New Roman"/>
        </w:rPr>
        <w:t> </w:t>
      </w:r>
      <w:r>
        <w:t>建筑外墙、外门窗洞口与窗口连接处、室内有防水要求的墙体均是防水的薄弱环节，</w:t>
      </w:r>
      <w:r>
        <w:rPr>
          <w:rFonts w:hint="eastAsia"/>
        </w:rPr>
        <w:t>应采取</w:t>
      </w:r>
      <w:r>
        <w:t>满足现行规范要求的防水构造措施。</w:t>
      </w:r>
    </w:p>
    <w:p>
      <w:pPr>
        <w:pStyle w:val="4"/>
        <w:snapToGrid w:val="0"/>
        <w:spacing w:before="0" w:after="0" w:line="360" w:lineRule="auto"/>
        <w:rPr>
          <w:rFonts w:ascii="Times New Roman" w:hAnsi="Times New Roman" w:cs="Times New Roman"/>
        </w:rPr>
      </w:pPr>
      <w:bookmarkStart w:id="153" w:name="_Toc28906"/>
      <w:bookmarkStart w:id="154" w:name="_Toc19789"/>
      <w:r>
        <w:rPr>
          <w:rFonts w:ascii="Times New Roman" w:hAnsi="Times New Roman" w:cs="Times New Roman"/>
        </w:rPr>
        <w:t>4.</w:t>
      </w:r>
      <w:r>
        <w:rPr>
          <w:rFonts w:hint="eastAsia" w:ascii="Times New Roman" w:hAnsi="Times New Roman" w:cs="Times New Roman"/>
        </w:rPr>
        <w:t>2</w:t>
      </w:r>
      <w:r>
        <w:rPr>
          <w:rFonts w:ascii="Times New Roman" w:hAnsi="Times New Roman" w:cs="Times New Roman"/>
        </w:rPr>
        <w:t>  结构设计</w:t>
      </w:r>
      <w:bookmarkEnd w:id="153"/>
      <w:bookmarkEnd w:id="154"/>
    </w:p>
    <w:p>
      <w:r>
        <w:rPr>
          <w:rStyle w:val="22"/>
          <w:rFonts w:ascii="Times New Roman" w:hAnsi="Times New Roman" w:cs="Times New Roman"/>
        </w:rPr>
        <w:t>4.2.</w:t>
      </w:r>
      <w:r>
        <w:rPr>
          <w:rStyle w:val="22"/>
          <w:rFonts w:hint="eastAsia" w:ascii="Times New Roman" w:hAnsi="Times New Roman" w:cs="Times New Roman"/>
        </w:rPr>
        <w:t>1</w:t>
      </w:r>
      <w:r>
        <w:rPr>
          <w:rFonts w:hint="eastAsia"/>
          <w:b/>
          <w:bCs/>
        </w:rPr>
        <w:t>~</w:t>
      </w:r>
      <w:r>
        <w:rPr>
          <w:rStyle w:val="22"/>
          <w:rFonts w:ascii="Times New Roman" w:hAnsi="Times New Roman" w:cs="Times New Roman"/>
        </w:rPr>
        <w:t>4.2.</w:t>
      </w:r>
      <w:r>
        <w:rPr>
          <w:rStyle w:val="22"/>
          <w:rFonts w:hint="eastAsia" w:ascii="Times New Roman" w:hAnsi="Times New Roman" w:cs="Times New Roman"/>
        </w:rPr>
        <w:t>2</w:t>
      </w:r>
      <w:r>
        <w:rPr>
          <w:rFonts w:cs="Times New Roman"/>
        </w:rPr>
        <w:t>  </w:t>
      </w:r>
      <w:r>
        <w:t>非承重墙体属于非结构构件，其抗震设计和构造应满足现行国家标准《建筑抗震设计规范》GB 50011、《工程结构通用规范》GB 55001和行业标准《非结构构件抗震设计规范》JGJ339的要求，如墙体与主体结构应有可靠的拉结，应能适应主体结构不同方向的层间变形。</w:t>
      </w:r>
    </w:p>
    <w:p>
      <w:r>
        <w:rPr>
          <w:rStyle w:val="22"/>
          <w:rFonts w:ascii="Times New Roman" w:hAnsi="Times New Roman" w:cs="Times New Roman"/>
        </w:rPr>
        <w:t>4.2.</w:t>
      </w:r>
      <w:r>
        <w:rPr>
          <w:rStyle w:val="22"/>
          <w:rFonts w:hint="eastAsia" w:ascii="Times New Roman" w:hAnsi="Times New Roman" w:cs="Times New Roman"/>
        </w:rPr>
        <w:t>3</w:t>
      </w:r>
      <w:r>
        <w:rPr>
          <w:rFonts w:cs="Times New Roman"/>
        </w:rPr>
        <w:t>  </w:t>
      </w:r>
      <w:r>
        <w:t>根据现行行业标准《建筑隔墙用轻质条板通用技术要求》JG</w:t>
      </w:r>
      <w:r>
        <w:rPr>
          <w:rFonts w:hint="eastAsia"/>
        </w:rPr>
        <w:t>/</w:t>
      </w:r>
      <w:r>
        <w:t>T 169的规定，当墙厚</w:t>
      </w:r>
      <w:r>
        <w:rPr>
          <w:rFonts w:hint="eastAsia" w:ascii="宋体" w:hAnsi="宋体" w:cs="宋体"/>
        </w:rPr>
        <w:t>≤</w:t>
      </w:r>
      <w:r>
        <w:t>1</w:t>
      </w:r>
      <w:r>
        <w:rPr>
          <w:rFonts w:hint="eastAsia"/>
        </w:rPr>
        <w:t>5</w:t>
      </w:r>
      <w:r>
        <w:t>0mm时，抗弯破坏荷载不应小于1.5倍墙体自重，当墙厚</w:t>
      </w:r>
      <w:r>
        <w:rPr>
          <w:rFonts w:hint="eastAsia" w:ascii="宋体" w:hAnsi="宋体" w:cs="宋体"/>
        </w:rPr>
        <w:t>&gt;</w:t>
      </w:r>
      <w:r>
        <w:t>1</w:t>
      </w:r>
      <w:r>
        <w:rPr>
          <w:rFonts w:hint="eastAsia"/>
        </w:rPr>
        <w:t>5</w:t>
      </w:r>
      <w:r>
        <w:t>0mm时，抗弯破坏荷载不应小于2倍墙体自重。</w:t>
      </w:r>
    </w:p>
    <w:p>
      <w:pPr>
        <w:ind w:firstLine="480" w:firstLineChars="200"/>
      </w:pPr>
      <w:r>
        <w:rPr>
          <w:rFonts w:hint="eastAsia"/>
        </w:rPr>
        <w:t>针对装配式复合轻质</w:t>
      </w:r>
      <w:r>
        <w:t>墙体，进行了典型构造墙体的平面外抗弯性能试验，试验研究表明：墙体加载至两倍自重荷载后，无明显裂缝产生，挠度、钢筋应变、表面混凝土应变数据正常且始终处于较小值。墙体未出现明显破坏情况，满足相关规范的要求。</w:t>
      </w:r>
    </w:p>
    <w:p>
      <w:r>
        <w:rPr>
          <w:rStyle w:val="22"/>
          <w:rFonts w:ascii="Times New Roman" w:hAnsi="Times New Roman" w:cs="Times New Roman"/>
        </w:rPr>
        <w:t>4.</w:t>
      </w:r>
      <w:r>
        <w:rPr>
          <w:rStyle w:val="22"/>
          <w:rFonts w:hint="eastAsia" w:ascii="Times New Roman" w:hAnsi="Times New Roman" w:cs="Times New Roman"/>
        </w:rPr>
        <w:t>2</w:t>
      </w:r>
      <w:r>
        <w:rPr>
          <w:rStyle w:val="22"/>
          <w:rFonts w:ascii="Times New Roman" w:hAnsi="Times New Roman" w:cs="Times New Roman"/>
        </w:rPr>
        <w:t>.</w:t>
      </w:r>
      <w:r>
        <w:rPr>
          <w:rStyle w:val="22"/>
          <w:rFonts w:hint="eastAsia" w:ascii="Times New Roman" w:hAnsi="Times New Roman" w:cs="Times New Roman"/>
        </w:rPr>
        <w:t>6</w:t>
      </w:r>
      <w:r>
        <w:rPr>
          <w:rFonts w:cs="Times New Roman"/>
        </w:rPr>
        <w:t>  </w:t>
      </w:r>
      <w:r>
        <w:t>自攻螺钉和射钉受拉，且只承受静力荷载时，所受拉力应不大于下列公式计算的抗拉承载力设计值。</w:t>
      </w:r>
    </w:p>
    <w:p>
      <w:pPr>
        <w:rPr>
          <w:rFonts w:hint="eastAsia" w:hAnsi="Cambria Math"/>
        </w:rPr>
      </w:pPr>
      <m:oMathPara>
        <m:oMath>
          <m:sSubSup>
            <m:sSubSupPr>
              <m:ctrlPr>
                <w:rPr>
                  <w:rFonts w:ascii="Cambria Math" w:hAnsi="Cambria Math"/>
                </w:rPr>
              </m:ctrlPr>
            </m:sSubSupPr>
            <m:e>
              <m:r>
                <m:rPr/>
                <w:rPr>
                  <w:rFonts w:ascii="Cambria Math" w:hAnsi="Cambria Math"/>
                </w:rPr>
                <m:t>N</m:t>
              </m:r>
              <m:ctrlPr>
                <w:rPr>
                  <w:rFonts w:ascii="Cambria Math" w:hAnsi="Cambria Math"/>
                </w:rPr>
              </m:ctrlPr>
            </m:e>
            <m:sub>
              <m:r>
                <m:rPr>
                  <m:sty m:val="p"/>
                </m:rPr>
                <w:rPr>
                  <w:rFonts w:ascii="Cambria Math" w:hAnsi="Cambria Math"/>
                </w:rPr>
                <m:t>t</m:t>
              </m:r>
              <m:ctrlPr>
                <w:rPr>
                  <w:rFonts w:ascii="Cambria Math" w:hAnsi="Cambria Math"/>
                </w:rPr>
              </m:ctrlPr>
            </m:sub>
            <m:sup>
              <m:r>
                <m:rPr>
                  <m:sty m:val="p"/>
                </m:rPr>
                <w:rPr>
                  <w:rFonts w:ascii="Cambria Math" w:hAnsi="Cambria Math"/>
                </w:rPr>
                <m:t>f</m:t>
              </m:r>
              <m:ctrlPr>
                <w:rPr>
                  <w:rFonts w:ascii="Cambria Math" w:hAnsi="Cambria Math"/>
                </w:rPr>
              </m:ctrlPr>
            </m:sup>
          </m:sSubSup>
          <m:r>
            <m:rPr>
              <m:sty m:val="p"/>
            </m:rPr>
            <w:rPr>
              <w:rFonts w:ascii="Cambria Math" w:hAnsi="Cambria Math"/>
            </w:rPr>
            <m:t>=17</m:t>
          </m:r>
          <m:r>
            <m:rPr/>
            <w:rPr>
              <w:rFonts w:ascii="Cambria Math" w:hAnsi="Cambria Math"/>
            </w:rPr>
            <m:t>tf</m:t>
          </m:r>
        </m:oMath>
      </m:oMathPara>
    </w:p>
    <w:p>
      <w:pPr>
        <w:snapToGrid w:val="0"/>
        <w:rPr>
          <w:rFonts w:cs="Times New Roman"/>
        </w:rPr>
      </w:pPr>
      <w:r>
        <w:rPr>
          <w:rFonts w:cs="Times New Roman"/>
        </w:rPr>
        <w:t>式中：</w:t>
      </w:r>
      <w:r>
        <w:rPr>
          <w:rFonts w:cs="Times New Roman"/>
          <w:i/>
          <w:iCs/>
        </w:rPr>
        <w:t>f</w:t>
      </w:r>
      <w:r>
        <w:rPr>
          <w:rFonts w:cs="Times New Roman"/>
        </w:rPr>
        <w:t>——连接件的抗拉强度设计值（N／mm²）</w:t>
      </w:r>
      <w:r>
        <w:rPr>
          <w:rFonts w:hint="eastAsia" w:cs="Times New Roman"/>
        </w:rPr>
        <w:t>；</w:t>
      </w:r>
    </w:p>
    <w:p>
      <w:pPr>
        <w:snapToGrid w:val="0"/>
        <w:ind w:firstLine="720" w:firstLineChars="300"/>
        <w:rPr>
          <w:rFonts w:cs="Times New Roman"/>
        </w:rPr>
      </w:pPr>
      <m:oMath>
        <m:sSubSup>
          <m:sSubSupPr>
            <m:ctrlPr>
              <w:rPr>
                <w:rFonts w:ascii="Cambria Math" w:hAnsi="Cambria Math"/>
              </w:rPr>
            </m:ctrlPr>
          </m:sSubSupPr>
          <m:e>
            <m:r>
              <m:rPr/>
              <w:rPr>
                <w:rFonts w:ascii="Cambria Math" w:hAnsi="Cambria Math"/>
              </w:rPr>
              <m:t>N</m:t>
            </m:r>
            <m:ctrlPr>
              <w:rPr>
                <w:rFonts w:ascii="Cambria Math" w:hAnsi="Cambria Math"/>
              </w:rPr>
            </m:ctrlPr>
          </m:e>
          <m:sub>
            <m:r>
              <m:rPr>
                <m:sty m:val="p"/>
              </m:rPr>
              <w:rPr>
                <w:rFonts w:ascii="Cambria Math" w:hAnsi="Cambria Math"/>
              </w:rPr>
              <m:t>t</m:t>
            </m:r>
            <m:ctrlPr>
              <w:rPr>
                <w:rFonts w:ascii="Cambria Math" w:hAnsi="Cambria Math"/>
              </w:rPr>
            </m:ctrlPr>
          </m:sub>
          <m:sup>
            <m:r>
              <m:rPr>
                <m:sty m:val="p"/>
              </m:rPr>
              <w:rPr>
                <w:rFonts w:ascii="Cambria Math" w:hAnsi="Cambria Math"/>
              </w:rPr>
              <m:t>f</m:t>
            </m:r>
            <m:ctrlPr>
              <w:rPr>
                <w:rFonts w:ascii="Cambria Math" w:hAnsi="Cambria Math"/>
              </w:rPr>
            </m:ctrlPr>
          </m:sup>
        </m:sSubSup>
      </m:oMath>
      <w:r>
        <w:rPr>
          <w:rFonts w:cs="Times New Roman"/>
        </w:rPr>
        <w:t>——自攻螺钉或射钉的抗拉承载力设计值（N）；</w:t>
      </w:r>
    </w:p>
    <w:p>
      <w:pPr>
        <w:snapToGrid w:val="0"/>
        <w:rPr>
          <w:rFonts w:hint="eastAsia" w:hAnsi="Cambria Math"/>
        </w:rPr>
      </w:pPr>
      <w:r>
        <w:rPr>
          <w:rFonts w:cs="Times New Roman"/>
        </w:rPr>
        <w:t xml:space="preserve">      </w:t>
      </w:r>
      <w:r>
        <w:rPr>
          <w:rFonts w:cs="Times New Roman"/>
          <w:i/>
          <w:iCs/>
        </w:rPr>
        <w:t>t</w:t>
      </w:r>
      <w:r>
        <w:rPr>
          <w:rFonts w:cs="Times New Roman"/>
        </w:rPr>
        <w:t>——连接件的厚度（mm）。</w:t>
      </w:r>
    </w:p>
    <w:p>
      <w:pPr>
        <w:ind w:firstLine="480" w:firstLineChars="200"/>
      </w:pPr>
      <w:r>
        <w:t>自攻螺钉或射钉受拉，且在承受风力作用时有可能出现疲劳破坏。因此在计算装配式复合轻质墙体遇风组合作用时，自攻螺钉和射钉的抗拉承载力设计值取静荷作用时的一半。</w:t>
      </w:r>
    </w:p>
    <w:p>
      <w:pPr>
        <w:ind w:firstLine="480" w:firstLineChars="200"/>
        <w:rPr>
          <w:rFonts w:ascii="楷体" w:hAnsi="楷体" w:eastAsia="楷体" w:cs="Times New Roman"/>
        </w:rPr>
      </w:pPr>
      <w:r>
        <w:t>试验表明传递剪力的连接不存在遇风组合的疲劳问题，抗剪连接的破坏模式主要以被连接板件的撕裂和连接件的倾斜拔出为主。单个连接件的抗剪承载力设计值仅与被连板件的厚度和其屈服强度的标准值以及连接件的直径有关。</w:t>
      </w:r>
    </w:p>
    <w:p>
      <w:r>
        <w:rPr>
          <w:rStyle w:val="22"/>
          <w:rFonts w:ascii="Times New Roman" w:hAnsi="Times New Roman" w:cs="Times New Roman"/>
        </w:rPr>
        <w:t>4.</w:t>
      </w:r>
      <w:r>
        <w:rPr>
          <w:rStyle w:val="22"/>
          <w:rFonts w:hint="eastAsia" w:ascii="Times New Roman" w:hAnsi="Times New Roman" w:cs="Times New Roman"/>
        </w:rPr>
        <w:t>2</w:t>
      </w:r>
      <w:r>
        <w:rPr>
          <w:rStyle w:val="22"/>
          <w:rFonts w:ascii="Times New Roman" w:hAnsi="Times New Roman" w:cs="Times New Roman"/>
        </w:rPr>
        <w:t>.</w:t>
      </w:r>
      <w:r>
        <w:rPr>
          <w:rStyle w:val="22"/>
          <w:rFonts w:hint="eastAsia" w:ascii="Times New Roman" w:hAnsi="Times New Roman" w:cs="Times New Roman"/>
        </w:rPr>
        <w:t>7</w:t>
      </w:r>
      <w:r>
        <w:rPr>
          <w:rFonts w:cs="Times New Roman"/>
        </w:rPr>
        <w:t>  </w:t>
      </w:r>
      <w:r>
        <w:t>装配式复合轻质墙体系非结构构件，因此化学锚栓的锚固深度按照非结构构件的连接确定。</w:t>
      </w:r>
      <w:r>
        <w:rPr>
          <w:rFonts w:hint="eastAsia"/>
        </w:rPr>
        <w:t>在抗震设防区时，化学锚栓的最小有效锚固相对深度在《混凝土结构后锚固技术规程》JGJ 145规定的基础上乘以1.1，且宜满足</w:t>
      </w:r>
      <w:r>
        <w:rPr>
          <w:rFonts w:hint="eastAsia"/>
          <w:i/>
          <w:iCs/>
        </w:rPr>
        <w:t>h</w:t>
      </w:r>
      <w:r>
        <w:rPr>
          <w:rFonts w:hint="eastAsia"/>
          <w:sz w:val="18"/>
          <w:szCs w:val="18"/>
        </w:rPr>
        <w:t>ef，min</w:t>
      </w:r>
      <w:r>
        <w:rPr>
          <w:rFonts w:hint="eastAsia"/>
        </w:rPr>
        <w:t>=6</w:t>
      </w:r>
      <w:r>
        <w:rPr>
          <w:rFonts w:hint="eastAsia"/>
          <w:i/>
          <w:iCs/>
        </w:rPr>
        <w:t>d</w:t>
      </w:r>
      <w:r>
        <w:rPr>
          <w:rFonts w:hint="eastAsia"/>
        </w:rPr>
        <w:t>的要求。</w:t>
      </w:r>
    </w:p>
    <w:p/>
    <w:p>
      <w:pPr>
        <w:pStyle w:val="4"/>
        <w:snapToGrid w:val="0"/>
        <w:spacing w:before="0" w:after="0" w:line="360" w:lineRule="auto"/>
        <w:rPr>
          <w:rFonts w:ascii="Times New Roman" w:hAnsi="Times New Roman" w:cs="Times New Roman"/>
        </w:rPr>
      </w:pPr>
      <w:bookmarkStart w:id="155" w:name="_Toc16872"/>
      <w:bookmarkStart w:id="156" w:name="_Toc19300"/>
      <w:r>
        <w:rPr>
          <w:rFonts w:ascii="Times New Roman" w:hAnsi="Times New Roman" w:cs="Times New Roman"/>
        </w:rPr>
        <w:t>4.</w:t>
      </w:r>
      <w:r>
        <w:rPr>
          <w:rFonts w:hint="eastAsia" w:ascii="Times New Roman" w:hAnsi="Times New Roman" w:cs="Times New Roman"/>
        </w:rPr>
        <w:t>3</w:t>
      </w:r>
      <w:r>
        <w:rPr>
          <w:rFonts w:ascii="Times New Roman" w:hAnsi="Times New Roman" w:cs="Times New Roman"/>
        </w:rPr>
        <w:t>  </w:t>
      </w:r>
      <w:r>
        <w:rPr>
          <w:rFonts w:hint="eastAsia" w:ascii="Times New Roman" w:hAnsi="Times New Roman" w:cs="Times New Roman"/>
        </w:rPr>
        <w:t>节能</w:t>
      </w:r>
      <w:r>
        <w:rPr>
          <w:rFonts w:ascii="Times New Roman" w:hAnsi="Times New Roman" w:cs="Times New Roman"/>
        </w:rPr>
        <w:t>设计</w:t>
      </w:r>
      <w:bookmarkEnd w:id="155"/>
      <w:bookmarkEnd w:id="156"/>
    </w:p>
    <w:p>
      <w:r>
        <w:rPr>
          <w:rStyle w:val="22"/>
          <w:rFonts w:ascii="Times New Roman" w:hAnsi="Times New Roman" w:cs="Times New Roman"/>
        </w:rPr>
        <w:t>4.</w:t>
      </w:r>
      <w:r>
        <w:rPr>
          <w:rStyle w:val="22"/>
          <w:rFonts w:hint="eastAsia" w:ascii="Times New Roman" w:hAnsi="Times New Roman" w:cs="Times New Roman"/>
        </w:rPr>
        <w:t>3</w:t>
      </w:r>
      <w:r>
        <w:rPr>
          <w:rStyle w:val="22"/>
          <w:rFonts w:ascii="Times New Roman" w:hAnsi="Times New Roman" w:cs="Times New Roman"/>
        </w:rPr>
        <w:t>.1</w:t>
      </w:r>
      <w:r>
        <w:rPr>
          <w:rFonts w:cs="Times New Roman"/>
        </w:rPr>
        <w:t> </w:t>
      </w:r>
      <w:r>
        <w:t>本条规定了装配式复合轻质墙体的保温性能设计要求。不同气候区、不同类型房屋执行的建筑节能设计标准不同，对装配式复合轻质墙体传热系数和热阻的要求不同。</w:t>
      </w:r>
    </w:p>
    <w:p>
      <w:r>
        <w:rPr>
          <w:rStyle w:val="22"/>
          <w:rFonts w:hint="eastAsia" w:ascii="Times New Roman" w:hAnsi="Times New Roman" w:cs="Times New Roman"/>
        </w:rPr>
        <w:t>4.3.2 </w:t>
      </w:r>
      <w:r>
        <w:rPr>
          <w:rFonts w:hint="eastAsia"/>
        </w:rPr>
        <w:t>墙体设计时，热阻的计算可参照《民用建筑热工设计规范》GB50176中对由两种以上材料组成的、二（三）向非均质复合围护结构热阻计算的规定：</w:t>
      </w:r>
    </w:p>
    <w:p>
      <w:pPr>
        <w:jc w:val="center"/>
      </w:pPr>
      <w:r>
        <w:rPr>
          <w:rFonts w:hint="eastAsia"/>
        </w:rPr>
        <w:drawing>
          <wp:inline distT="0" distB="0" distL="114300" distR="114300">
            <wp:extent cx="2709545" cy="2926715"/>
            <wp:effectExtent l="0" t="0" r="0" b="6985"/>
            <wp:docPr id="56" name="图片 56" descr="QQ截图2023041016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截图20230410165048"/>
                    <pic:cNvPicPr>
                      <a:picLocks noChangeAspect="1"/>
                    </pic:cNvPicPr>
                  </pic:nvPicPr>
                  <pic:blipFill>
                    <a:blip r:embed="rId53">
                      <a:clrChange>
                        <a:clrFrom>
                          <a:srgbClr val="FFFFFF">
                            <a:alpha val="100000"/>
                          </a:srgbClr>
                        </a:clrFrom>
                        <a:clrTo>
                          <a:srgbClr val="FFFFFF">
                            <a:alpha val="100000"/>
                            <a:alpha val="0"/>
                          </a:srgbClr>
                        </a:clrTo>
                      </a:clrChange>
                    </a:blip>
                    <a:stretch>
                      <a:fillRect/>
                    </a:stretch>
                  </pic:blipFill>
                  <pic:spPr>
                    <a:xfrm>
                      <a:off x="0" y="0"/>
                      <a:ext cx="2709545" cy="2926715"/>
                    </a:xfrm>
                    <a:prstGeom prst="rect">
                      <a:avLst/>
                    </a:prstGeom>
                  </pic:spPr>
                </pic:pic>
              </a:graphicData>
            </a:graphic>
          </wp:inline>
        </w:drawing>
      </w:r>
    </w:p>
    <w:p>
      <w:pPr>
        <w:jc w:val="center"/>
      </w:pPr>
      <w:r>
        <w:rPr>
          <w:rFonts w:hint="eastAsia"/>
          <w:b/>
          <w:bCs/>
          <w:sz w:val="21"/>
          <w:szCs w:val="21"/>
        </w:rPr>
        <w:t>图2  非均质复合围护结构热阻计算简图</w:t>
      </w:r>
    </w:p>
    <w:p>
      <m:oMathPara>
        <m:oMath>
          <m:bar>
            <m:barPr>
              <m:pos m:val="top"/>
              <m:ctrlPr>
                <w:rPr>
                  <w:rFonts w:hint="eastAsia" w:ascii="Cambria Math" w:hAnsi="Cambria Math"/>
                </w:rPr>
              </m:ctrlPr>
            </m:barPr>
            <m:e>
              <m:r>
                <m:rPr>
                  <m:sty m:val="p"/>
                </m:rPr>
                <w:rPr>
                  <w:rFonts w:ascii="Cambria Math" w:hAnsi="Cambria Math"/>
                </w:rPr>
                <m:t>R</m:t>
              </m:r>
              <m:ctrlPr>
                <w:rPr>
                  <w:rFonts w:hint="eastAsia" w:ascii="Cambria Math" w:hAnsi="Cambria Math"/>
                </w:rPr>
              </m:ctrlPr>
            </m:e>
          </m:ba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ou</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ol</m:t>
                  </m:r>
                  <m:ctrlPr>
                    <w:rPr>
                      <w:rFonts w:ascii="Cambria Math" w:hAnsi="Cambria Math"/>
                    </w:rPr>
                  </m:ctrlPr>
                </m:sub>
              </m:sSub>
              <m:ctrlPr>
                <w:rPr>
                  <w:rFonts w:ascii="Cambria Math" w:hAnsi="Cambria Math"/>
                </w:rPr>
              </m:ctrlPr>
            </m:num>
            <m:den>
              <m:r>
                <m:rPr>
                  <m:sty m:val="p"/>
                </m:rPr>
                <w:rPr>
                  <w:rFonts w:ascii="Cambria Math" w:hAnsi="Cambria Math"/>
                </w:rPr>
                <m:t>2</m:t>
              </m:r>
              <m:ctrlPr>
                <w:rPr>
                  <w:rFonts w:ascii="Cambria Math" w:hAnsi="Cambria Math"/>
                </w:rPr>
              </m:ctrlPr>
            </m:den>
          </m:f>
          <m:r>
            <m:rPr>
              <m:sty m:val="p"/>
            </m:rPr>
            <w:rPr>
              <w:rFonts w:ascii="Cambria Math" w:hAnsi="Cambria Math"/>
            </w:rPr>
            <m:t>−</m:t>
          </m:r>
          <m:r>
            <m:rPr>
              <m:sty m:val="p"/>
            </m:rPr>
            <w:rPr>
              <w:rFonts w:hint="eastAsia" w:ascii="Cambria Math" w:hAnsi="Cambria Math"/>
            </w:rPr>
            <m:t>（</m:t>
          </m:r>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i</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e</m:t>
              </m:r>
              <m:ctrlPr>
                <w:rPr>
                  <w:rFonts w:ascii="Cambria Math" w:hAnsi="Cambria Math"/>
                </w:rPr>
              </m:ctrlPr>
            </m:sub>
          </m:sSub>
          <m:r>
            <m:rPr>
              <m:sty m:val="p"/>
            </m:rPr>
            <w:rPr>
              <w:rFonts w:hint="eastAsia" w:ascii="Cambria Math" w:hAnsi="Cambria Math"/>
            </w:rPr>
            <m:t>）</m:t>
          </m:r>
        </m:oMath>
      </m:oMathPara>
    </w:p>
    <w:p>
      <m:oMathPara>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ou</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ctrlPr>
                <w:rPr>
                  <w:rFonts w:ascii="Cambria Math" w:hAnsi="Cambria Math"/>
                </w:rPr>
              </m:ctrlPr>
            </m:num>
            <m:den>
              <m:f>
                <m:fPr>
                  <m:ctrlPr>
                    <w:rPr>
                      <w:rFonts w:ascii="Cambria Math" w:hAnsi="Cambria Math"/>
                    </w:rPr>
                  </m:ctrlPr>
                </m:fPr>
                <m:num>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hint="eastAsia" w:ascii="Cambria Math" w:hAnsi="Cambria Math"/>
                        </w:rPr>
                        <m:t>a</m:t>
                      </m:r>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oua</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hint="eastAsia" w:ascii="Cambria Math" w:hAnsi="Cambria Math"/>
                        </w:rPr>
                        <m:t>b</m:t>
                      </m:r>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oub</m:t>
                      </m:r>
                      <m:ctrlPr>
                        <w:rPr>
                          <w:rFonts w:ascii="Cambria Math" w:hAnsi="Cambria Math"/>
                        </w:rPr>
                      </m:ctrlPr>
                    </m:sub>
                  </m:sSub>
                  <m:ctrlPr>
                    <w:rPr>
                      <w:rFonts w:ascii="Cambria Math" w:hAnsi="Cambria Math"/>
                    </w:rPr>
                  </m:ctrlPr>
                </m:den>
              </m:f>
              <m:r>
                <m:rPr>
                  <m:sty m:val="p"/>
                </m:rPr>
                <w:rPr>
                  <w:rFonts w:hint="eastAsia" w:ascii="Cambria Math" w:hAnsi="Cambria Math"/>
                </w:rPr>
                <m:t>+</m:t>
              </m:r>
              <m:r>
                <m:rPr>
                  <m:sty m:val="p"/>
                </m:rPr>
                <w:rPr>
                  <w:rFonts w:ascii="Cambria Math" w:hAnsi="Cambria Math"/>
                </w:rPr>
                <m:t>......</m:t>
              </m:r>
              <m:r>
                <m:rPr>
                  <m:sty m:val="p"/>
                </m:rPr>
                <w:rPr>
                  <w:rFonts w:hint="eastAsia"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hint="eastAsia" w:ascii="Cambria Math" w:hAnsi="Cambria Math"/>
                        </w:rPr>
                        <m:t>q</m:t>
                      </m:r>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ouq</m:t>
                      </m:r>
                      <m:ctrlPr>
                        <w:rPr>
                          <w:rFonts w:ascii="Cambria Math" w:hAnsi="Cambria Math"/>
                        </w:rPr>
                      </m:ctrlPr>
                    </m:sub>
                  </m:sSub>
                  <m:ctrlPr>
                    <w:rPr>
                      <w:rFonts w:ascii="Cambria Math" w:hAnsi="Cambria Math"/>
                    </w:rPr>
                  </m:ctrlPr>
                </m:den>
              </m:f>
              <m:ctrlPr>
                <w:rPr>
                  <w:rFonts w:ascii="Cambria Math" w:hAnsi="Cambria Math"/>
                </w:rPr>
              </m:ctrlPr>
            </m:den>
          </m:f>
        </m:oMath>
      </m:oMathPara>
    </w:p>
    <w:p>
      <m:oMathPara>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ol</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i</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r>
            <m:rPr>
              <m:sty m:val="p"/>
            </m:rPr>
            <w:rPr>
              <w:rFonts w:hint="eastAsia" w:ascii="Cambria Math" w:hAnsi="Cambria Math"/>
            </w:rPr>
            <m:t>+</m:t>
          </m:r>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j</m:t>
              </m:r>
              <m:ctrlPr>
                <w:rPr>
                  <w:rFonts w:ascii="Cambria Math" w:hAnsi="Cambria Math"/>
                </w:rPr>
              </m:ctrlPr>
            </m:sub>
          </m:sSub>
          <m:r>
            <m:rPr>
              <m:sty m:val="p"/>
            </m:rPr>
            <w:rPr>
              <w:rFonts w:ascii="Cambria Math" w:hAnsi="Cambria Math"/>
            </w:rPr>
            <m:t>+......</m:t>
          </m:r>
          <m:r>
            <m:rPr>
              <m:sty m:val="p"/>
            </m:rPr>
            <w:rPr>
              <w:rFonts w:hint="eastAsia" w:ascii="Cambria Math" w:hAnsi="Cambria Math"/>
            </w:rPr>
            <m:t>+</m:t>
          </m:r>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n</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e</m:t>
              </m:r>
              <m:ctrlPr>
                <w:rPr>
                  <w:rFonts w:ascii="Cambria Math" w:hAnsi="Cambria Math"/>
                </w:rPr>
              </m:ctrlPr>
            </m:sub>
          </m:sSub>
        </m:oMath>
      </m:oMathPara>
    </w:p>
    <w:p>
      <m:oMathPara>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j</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ctrlPr>
                <w:rPr>
                  <w:rFonts w:ascii="Cambria Math" w:hAnsi="Cambria Math"/>
                </w:rPr>
              </m:ctrlPr>
            </m:num>
            <m:den>
              <m:f>
                <m:fPr>
                  <m:ctrlPr>
                    <w:rPr>
                      <w:rFonts w:ascii="Cambria Math" w:hAnsi="Cambria Math"/>
                    </w:rPr>
                  </m:ctrlPr>
                </m:fPr>
                <m:num>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hint="eastAsia" w:ascii="Cambria Math" w:hAnsi="Cambria Math"/>
                        </w:rPr>
                        <m:t>a</m:t>
                      </m:r>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aj</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hint="eastAsia" w:ascii="Cambria Math" w:hAnsi="Cambria Math"/>
                        </w:rPr>
                        <m:t>b</m:t>
                      </m:r>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bj</m:t>
                      </m:r>
                      <m:ctrlPr>
                        <w:rPr>
                          <w:rFonts w:ascii="Cambria Math" w:hAnsi="Cambria Math"/>
                        </w:rPr>
                      </m:ctrlPr>
                    </m:sub>
                  </m:sSub>
                  <m:ctrlPr>
                    <w:rPr>
                      <w:rFonts w:ascii="Cambria Math" w:hAnsi="Cambria Math"/>
                    </w:rPr>
                  </m:ctrlPr>
                </m:den>
              </m:f>
              <m:r>
                <m:rPr>
                  <m:sty m:val="p"/>
                </m:rPr>
                <w:rPr>
                  <w:rFonts w:hint="eastAsia" w:ascii="Cambria Math" w:hAnsi="Cambria Math"/>
                </w:rPr>
                <m:t>+</m:t>
              </m:r>
              <m:r>
                <m:rPr>
                  <m:sty m:val="p"/>
                </m:rPr>
                <w:rPr>
                  <w:rFonts w:ascii="Cambria Math" w:hAnsi="Cambria Math"/>
                </w:rPr>
                <m:t>......</m:t>
              </m:r>
              <m:r>
                <m:rPr>
                  <m:sty m:val="p"/>
                </m:rPr>
                <w:rPr>
                  <w:rFonts w:hint="eastAsia"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hint="eastAsia" w:ascii="Cambria Math" w:hAnsi="Cambria Math"/>
                        </w:rPr>
                        <m:t>q</m:t>
                      </m:r>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qj</m:t>
                      </m:r>
                      <m:ctrlPr>
                        <w:rPr>
                          <w:rFonts w:ascii="Cambria Math" w:hAnsi="Cambria Math"/>
                        </w:rPr>
                      </m:ctrlPr>
                    </m:sub>
                  </m:sSub>
                  <m:ctrlPr>
                    <w:rPr>
                      <w:rFonts w:ascii="Cambria Math" w:hAnsi="Cambria Math"/>
                    </w:rPr>
                  </m:ctrlPr>
                </m:den>
              </m:f>
              <m:ctrlPr>
                <w:rPr>
                  <w:rFonts w:ascii="Cambria Math" w:hAnsi="Cambria Math"/>
                </w:rPr>
              </m:ctrlPr>
            </m:den>
          </m:f>
        </m:oMath>
      </m:oMathPara>
    </w:p>
    <w:p>
      <w:r>
        <w:rPr>
          <w:rFonts w:hint="eastAsia"/>
        </w:rPr>
        <w:t>式中：</w:t>
      </w:r>
      <m:oMath>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hint="eastAsia" w:ascii="Cambria Math" w:hAnsi="Cambria Math"/>
              </w:rPr>
              <m:t>a</m:t>
            </m:r>
            <m:ctrlPr>
              <w:rPr>
                <w:rFonts w:ascii="Cambria Math" w:hAnsi="Cambria Math"/>
              </w:rPr>
            </m:ctrlPr>
          </m:sub>
        </m:sSub>
      </m:oMath>
      <w:r>
        <w:rPr>
          <w:rFonts w:hint="eastAsia"/>
        </w:rPr>
        <w:t>、</w:t>
      </w:r>
      <m:oMath>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hint="eastAsia" w:ascii="Cambria Math" w:hAnsi="Cambria Math"/>
              </w:rPr>
              <m:t>b</m:t>
            </m:r>
            <m:ctrlPr>
              <w:rPr>
                <w:rFonts w:ascii="Cambria Math" w:hAnsi="Cambria Math"/>
              </w:rPr>
            </m:ctrlPr>
          </m:sub>
        </m:sSub>
      </m:oMath>
      <w:r>
        <w:rPr>
          <w:rFonts w:hint="eastAsia"/>
        </w:rPr>
        <w:t>......</w:t>
      </w:r>
      <m:oMath>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hint="eastAsia" w:ascii="Cambria Math" w:hAnsi="Cambria Math"/>
              </w:rPr>
              <m:t>q</m:t>
            </m:r>
            <m:ctrlPr>
              <w:rPr>
                <w:rFonts w:ascii="Cambria Math" w:hAnsi="Cambria Math"/>
              </w:rPr>
            </m:ctrlPr>
          </m:sub>
        </m:sSub>
      </m:oMath>
      <w:r>
        <w:t>——</w:t>
      </w:r>
      <w:r>
        <w:rPr>
          <w:rFonts w:hint="eastAsia"/>
        </w:rPr>
        <w:t>与热流平行方向各部分面积占总面积的百分比；</w:t>
      </w:r>
    </w:p>
    <w:p>
      <w:pPr>
        <w:ind w:firstLine="720" w:firstLineChars="300"/>
      </w:pPr>
      <m:oMath>
        <m:bar>
          <m:barPr>
            <m:pos m:val="top"/>
            <m:ctrlPr>
              <w:rPr>
                <w:rFonts w:hint="eastAsia" w:ascii="Cambria Math" w:hAnsi="Cambria Math"/>
              </w:rPr>
            </m:ctrlPr>
          </m:barPr>
          <m:e>
            <m:r>
              <m:rPr/>
              <w:rPr>
                <w:rFonts w:ascii="Cambria Math" w:hAnsi="Cambria Math"/>
              </w:rPr>
              <m:t>R</m:t>
            </m:r>
            <m:ctrlPr>
              <w:rPr>
                <w:rFonts w:hint="eastAsia" w:ascii="Cambria Math" w:hAnsi="Cambria Math"/>
              </w:rPr>
            </m:ctrlPr>
          </m:e>
        </m:bar>
      </m:oMath>
      <w:r>
        <w:t>——</w:t>
      </w:r>
      <w:r>
        <w:rPr>
          <w:rFonts w:hint="eastAsia"/>
        </w:rPr>
        <w:t>非匀质复合围护结构的热阻（</w:t>
      </w:r>
      <w:r>
        <w:t>m</w:t>
      </w:r>
      <w:r>
        <w:rPr>
          <w:rFonts w:hint="eastAsia"/>
        </w:rPr>
        <w:t>²</w:t>
      </w:r>
      <w:r>
        <w:rPr>
          <w:rFonts w:cs="Times New Roman"/>
        </w:rPr>
        <w:t>·</w:t>
      </w:r>
      <w:r>
        <w:t>K</w:t>
      </w:r>
      <w:r>
        <w:rPr>
          <w:rFonts w:hint="eastAsia"/>
        </w:rPr>
        <w:t>/</w:t>
      </w:r>
      <w:r>
        <w:t>W</w:t>
      </w:r>
      <w:r>
        <w:rPr>
          <w:rFonts w:hint="eastAsia"/>
        </w:rPr>
        <w:t>）；</w:t>
      </w:r>
    </w:p>
    <w:p>
      <w:pPr>
        <w:ind w:firstLine="720" w:firstLineChars="300"/>
      </w:pPr>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e</m:t>
            </m:r>
            <m:ctrlPr>
              <w:rPr>
                <w:rFonts w:ascii="Cambria Math" w:hAnsi="Cambria Math"/>
              </w:rPr>
            </m:ctrlPr>
          </m:sub>
        </m:sSub>
      </m:oMath>
      <w:r>
        <w:t>——</w:t>
      </w:r>
      <w:r>
        <w:rPr>
          <w:rFonts w:hint="eastAsia"/>
        </w:rPr>
        <w:t>外表面换热阻（</w:t>
      </w:r>
      <w:r>
        <w:t>m</w:t>
      </w:r>
      <w:r>
        <w:rPr>
          <w:rFonts w:hint="eastAsia"/>
        </w:rPr>
        <w:t>²</w:t>
      </w:r>
      <w:r>
        <w:rPr>
          <w:rFonts w:cs="Times New Roman"/>
        </w:rPr>
        <w:t>·</w:t>
      </w:r>
      <w:r>
        <w:t>K</w:t>
      </w:r>
      <w:r>
        <w:rPr>
          <w:rFonts w:hint="eastAsia"/>
        </w:rPr>
        <w:t>/</w:t>
      </w:r>
      <w:r>
        <w:t>W</w:t>
      </w:r>
      <w:r>
        <w:rPr>
          <w:rFonts w:hint="eastAsia"/>
        </w:rPr>
        <w:t>）；</w:t>
      </w:r>
    </w:p>
    <w:p>
      <w:r>
        <w:rPr>
          <w:rFonts w:hint="eastAsia"/>
        </w:rPr>
        <w:t xml:space="preserve">      </w:t>
      </w: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i</m:t>
            </m:r>
            <m:ctrlPr>
              <w:rPr>
                <w:rFonts w:ascii="Cambria Math" w:hAnsi="Cambria Math"/>
              </w:rPr>
            </m:ctrlPr>
          </m:sub>
        </m:sSub>
      </m:oMath>
      <w:r>
        <w:t>——</w:t>
      </w:r>
      <w:r>
        <w:rPr>
          <w:rFonts w:hint="eastAsia"/>
        </w:rPr>
        <w:t>内表面换热阻（</w:t>
      </w:r>
      <w:r>
        <w:t>m</w:t>
      </w:r>
      <w:r>
        <w:rPr>
          <w:rFonts w:hint="eastAsia"/>
        </w:rPr>
        <w:t>²</w:t>
      </w:r>
      <w:r>
        <w:rPr>
          <w:rFonts w:cs="Times New Roman"/>
        </w:rPr>
        <w:t>·</w:t>
      </w:r>
      <w:r>
        <w:t>K</w:t>
      </w:r>
      <w:r>
        <w:rPr>
          <w:rFonts w:hint="eastAsia"/>
        </w:rPr>
        <w:t>/</w:t>
      </w:r>
      <w:r>
        <w:t>W</w:t>
      </w:r>
      <w:r>
        <w:rPr>
          <w:rFonts w:hint="eastAsia"/>
        </w:rPr>
        <w:t>）；</w:t>
      </w:r>
    </w:p>
    <w:p>
      <w:pPr>
        <w:ind w:firstLine="720" w:firstLineChars="300"/>
      </w:pPr>
    </w:p>
    <w:p>
      <w:pPr>
        <w:ind w:firstLine="720" w:firstLineChars="300"/>
      </w:pPr>
    </w:p>
    <w:p>
      <w:pPr>
        <w:ind w:firstLine="720" w:firstLineChars="300"/>
      </w:pPr>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aj</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bj</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hint="eastAsia" w:ascii="Cambria Math" w:hAnsi="Cambria Math"/>
              </w:rPr>
              <m:t>qj</m:t>
            </m:r>
            <m:ctrlPr>
              <w:rPr>
                <w:rFonts w:ascii="Cambria Math" w:hAnsi="Cambria Math"/>
              </w:rPr>
            </m:ctrlPr>
          </m:sub>
        </m:sSub>
      </m:oMath>
      <w:r>
        <w:t>——</w:t>
      </w:r>
      <w:r>
        <w:rPr>
          <w:rFonts w:hint="eastAsia"/>
        </w:rPr>
        <w:t>与热流垂直方向各部分的传热阻（</w:t>
      </w:r>
      <w:r>
        <w:t>m</w:t>
      </w:r>
      <w:r>
        <w:rPr>
          <w:rFonts w:hint="eastAsia"/>
        </w:rPr>
        <w:t>²</w:t>
      </w:r>
      <w:r>
        <w:rPr>
          <w:rFonts w:cs="Times New Roman"/>
        </w:rPr>
        <w:t>·</w:t>
      </w:r>
      <w:r>
        <w:t>K</w:t>
      </w:r>
      <w:r>
        <w:rPr>
          <w:rFonts w:hint="eastAsia"/>
        </w:rPr>
        <w:t>/</w:t>
      </w:r>
      <w:r>
        <w:t>W</w:t>
      </w:r>
      <w:r>
        <w:rPr>
          <w:rFonts w:hint="eastAsia"/>
        </w:rPr>
        <w:t>）；</w:t>
      </w:r>
    </w:p>
    <w:p>
      <w:pPr>
        <w:ind w:firstLine="720" w:firstLineChars="300"/>
      </w:pPr>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oua</m:t>
            </m:r>
            <m:ctrlPr>
              <w:rPr>
                <w:rFonts w:ascii="Cambria Math" w:hAnsi="Cambria Math"/>
              </w:rPr>
            </m:ctrlPr>
          </m:sub>
        </m:sSub>
      </m:oMath>
      <w:r>
        <w:rPr>
          <w:rFonts w:hint="eastAsia"/>
        </w:rPr>
        <w:t>、</w:t>
      </w:r>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oub</m:t>
            </m:r>
            <m:ctrlPr>
              <w:rPr>
                <w:rFonts w:ascii="Cambria Math" w:hAnsi="Cambria Math"/>
              </w:rPr>
            </m:ctrlPr>
          </m:sub>
        </m:sSub>
      </m:oMath>
      <w:r>
        <w:rPr>
          <w:rFonts w:hint="eastAsia"/>
        </w:rPr>
        <w:t>......</w:t>
      </w:r>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hint="eastAsia" w:ascii="Cambria Math" w:hAnsi="Cambria Math"/>
              </w:rPr>
              <m:t>ouq</m:t>
            </m:r>
            <m:ctrlPr>
              <w:rPr>
                <w:rFonts w:ascii="Cambria Math" w:hAnsi="Cambria Math"/>
              </w:rPr>
            </m:ctrlPr>
          </m:sub>
        </m:sSub>
      </m:oMath>
      <w:r>
        <w:t>——</w:t>
      </w:r>
      <w:r>
        <w:rPr>
          <w:rFonts w:hint="eastAsia"/>
        </w:rPr>
        <w:t>与热流平行方向各部分的传热阻（</w:t>
      </w:r>
      <w:r>
        <w:t>m</w:t>
      </w:r>
      <w:r>
        <w:rPr>
          <w:rFonts w:hint="eastAsia"/>
        </w:rPr>
        <w:t>²</w:t>
      </w:r>
      <w:r>
        <w:rPr>
          <w:rFonts w:cs="Times New Roman"/>
        </w:rPr>
        <w:t>·</w:t>
      </w:r>
      <w:r>
        <w:t>K</w:t>
      </w:r>
      <w:r>
        <w:rPr>
          <w:rFonts w:hint="eastAsia"/>
        </w:rPr>
        <w:t>/</w:t>
      </w:r>
      <w:r>
        <w:t>W</w:t>
      </w:r>
      <w:r>
        <w:rPr>
          <w:rFonts w:hint="eastAsia"/>
        </w:rPr>
        <w:t>）。</w:t>
      </w:r>
    </w:p>
    <w:p>
      <w:pPr>
        <w:pStyle w:val="2"/>
      </w:pPr>
    </w:p>
    <w:p>
      <w:pPr>
        <w:pStyle w:val="4"/>
        <w:snapToGrid w:val="0"/>
        <w:spacing w:before="0" w:after="0" w:line="360" w:lineRule="auto"/>
        <w:rPr>
          <w:rStyle w:val="22"/>
          <w:rFonts w:ascii="Times New Roman" w:hAnsi="Times New Roman" w:cs="Times New Roman"/>
          <w:b/>
        </w:rPr>
      </w:pPr>
      <w:bookmarkStart w:id="157" w:name="_Toc16371"/>
      <w:bookmarkStart w:id="158" w:name="_Toc9793"/>
      <w:r>
        <w:rPr>
          <w:rFonts w:ascii="Times New Roman" w:hAnsi="Times New Roman" w:cs="Times New Roman"/>
        </w:rPr>
        <w:t>4.4  构造措施</w:t>
      </w:r>
      <w:bookmarkEnd w:id="157"/>
      <w:bookmarkEnd w:id="158"/>
    </w:p>
    <w:p>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w:t>
      </w:r>
      <w:r>
        <w:rPr>
          <w:rStyle w:val="22"/>
          <w:rFonts w:hint="eastAsia" w:ascii="Times New Roman" w:hAnsi="Times New Roman" w:cs="Times New Roman"/>
        </w:rPr>
        <w:t>1</w:t>
      </w:r>
      <w:r>
        <w:rPr>
          <w:rFonts w:cs="Times New Roman"/>
        </w:rPr>
        <w:t xml:space="preserve">  </w:t>
      </w:r>
      <w:r>
        <w:rPr>
          <w:rFonts w:hint="eastAsia"/>
        </w:rPr>
        <w:t>墙体系非承重墙，但仍需具有一定的刚度和稳定性，根据该类隔墙的特点和工程经验确定了隔墙的高厚比和自由长度限值。</w:t>
      </w:r>
    </w:p>
    <w:p>
      <w:pPr>
        <w:pStyle w:val="2"/>
      </w:pPr>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.4</w:t>
      </w:r>
      <w:r>
        <w:rPr>
          <w:rFonts w:cs="Times New Roman"/>
        </w:rPr>
        <w:t> </w:t>
      </w:r>
      <w:r>
        <w:rPr>
          <w:rFonts w:hint="eastAsia" w:cs="Times New Roman"/>
        </w:rPr>
        <w:t xml:space="preserve"> </w:t>
      </w:r>
      <w:r>
        <w:rPr>
          <w:rFonts w:hint="eastAsia"/>
        </w:rPr>
        <w:t>本条规定了墙面板的构造及设置要求。</w:t>
      </w:r>
    </w:p>
    <w:p>
      <w:r>
        <w:rPr>
          <w:b/>
          <w:bCs/>
        </w:rPr>
        <w:t>4.</w:t>
      </w:r>
      <w:r>
        <w:rPr>
          <w:rFonts w:hint="eastAsia"/>
          <w:b/>
          <w:bCs/>
        </w:rPr>
        <w:t>4</w:t>
      </w:r>
      <w:r>
        <w:rPr>
          <w:b/>
          <w:bCs/>
        </w:rPr>
        <w:t>.5</w:t>
      </w:r>
      <w:r>
        <w:t>  本条规定了墙体与主体结构的连接方式及其构造要求。</w:t>
      </w:r>
    </w:p>
    <w:p>
      <w:r>
        <w:rPr>
          <w:b/>
          <w:bCs/>
        </w:rPr>
        <w:t>4.</w:t>
      </w:r>
      <w:r>
        <w:rPr>
          <w:rFonts w:hint="eastAsia"/>
          <w:b/>
          <w:bCs/>
        </w:rPr>
        <w:t>4</w:t>
      </w:r>
      <w:r>
        <w:rPr>
          <w:b/>
          <w:bCs/>
        </w:rPr>
        <w:t>.6</w:t>
      </w:r>
      <w:r>
        <w:t>  本条规定了注仓式自保温装配集成墙体自由端和洞口的构造要求。</w:t>
      </w:r>
    </w:p>
    <w:p>
      <w:r>
        <w:rPr>
          <w:b/>
          <w:bCs/>
        </w:rPr>
        <w:t>4.</w:t>
      </w:r>
      <w:r>
        <w:rPr>
          <w:rFonts w:hint="eastAsia"/>
          <w:b/>
          <w:bCs/>
        </w:rPr>
        <w:t>4</w:t>
      </w:r>
      <w:r>
        <w:rPr>
          <w:b/>
          <w:bCs/>
        </w:rPr>
        <w:t>.7</w:t>
      </w:r>
      <w:r>
        <w:t>  本条规定了注浆仓的设置及填充要求。</w:t>
      </w:r>
      <w:r>
        <w:rPr>
          <w:rFonts w:hint="eastAsia"/>
        </w:rPr>
        <w:t>压力</w:t>
      </w:r>
      <w:r>
        <w:t>填充注浆仓使墙体气密性得到有效保障，并克服了易开裂的质量缺陷。确保墙体的正常使用年限。</w:t>
      </w:r>
    </w:p>
    <w:p>
      <w:r>
        <w:rPr>
          <w:rStyle w:val="22"/>
          <w:rFonts w:ascii="Times New Roman" w:hAnsi="Times New Roman" w:cs="Times New Roman"/>
        </w:rPr>
        <w:t>4.</w:t>
      </w:r>
      <w:r>
        <w:rPr>
          <w:rStyle w:val="22"/>
          <w:rFonts w:hint="eastAsia" w:ascii="Times New Roman" w:hAnsi="Times New Roman" w:cs="Times New Roman"/>
        </w:rPr>
        <w:t>4</w:t>
      </w:r>
      <w:r>
        <w:rPr>
          <w:rStyle w:val="22"/>
          <w:rFonts w:ascii="Times New Roman" w:hAnsi="Times New Roman" w:cs="Times New Roman"/>
        </w:rPr>
        <w:t>.8</w:t>
      </w:r>
      <w:r>
        <w:rPr>
          <w:rFonts w:cs="Times New Roman"/>
        </w:rPr>
        <w:t>  </w:t>
      </w:r>
      <w:r>
        <w:t>不同类型材料交界处易产生裂缝，本条规定了墙体与墙体、墙体与主体结构接缝处的抗裂构造措施。</w:t>
      </w:r>
    </w:p>
    <w:p>
      <w:pPr>
        <w:snapToGrid w:val="0"/>
        <w:ind w:firstLine="480"/>
        <w:rPr>
          <w:rFonts w:cs="Times New Roman"/>
          <w:sz w:val="21"/>
          <w:szCs w:val="21"/>
        </w:rPr>
        <w:sectPr>
          <w:pgSz w:w="11906" w:h="16838"/>
          <w:pgMar w:top="1440" w:right="1800" w:bottom="1440" w:left="1800" w:header="851" w:footer="992" w:gutter="0"/>
          <w:cols w:space="425" w:num="1"/>
          <w:docGrid w:type="lines" w:linePitch="312" w:charSpace="0"/>
        </w:sectPr>
      </w:pPr>
    </w:p>
    <w:p>
      <w:pPr>
        <w:pStyle w:val="3"/>
        <w:snapToGrid w:val="0"/>
        <w:spacing w:before="0" w:after="0" w:line="360" w:lineRule="auto"/>
        <w:rPr>
          <w:rFonts w:ascii="Times New Roman" w:hAnsi="Times New Roman" w:cs="Times New Roman"/>
        </w:rPr>
      </w:pPr>
      <w:bookmarkStart w:id="159" w:name="_Toc19497"/>
      <w:bookmarkStart w:id="160" w:name="_Toc29116"/>
      <w:r>
        <w:rPr>
          <w:rFonts w:ascii="Times New Roman" w:hAnsi="Times New Roman" w:cs="Times New Roman"/>
        </w:rPr>
        <w:t>5  施  工</w:t>
      </w:r>
      <w:bookmarkEnd w:id="159"/>
      <w:bookmarkEnd w:id="160"/>
    </w:p>
    <w:p>
      <w:bookmarkStart w:id="161" w:name="_Toc1717"/>
    </w:p>
    <w:p>
      <w:pPr>
        <w:pStyle w:val="4"/>
        <w:snapToGrid w:val="0"/>
        <w:spacing w:before="0" w:after="0" w:line="360" w:lineRule="auto"/>
        <w:rPr>
          <w:rFonts w:ascii="Times New Roman" w:hAnsi="Times New Roman" w:cs="Times New Roman"/>
        </w:rPr>
      </w:pPr>
      <w:bookmarkStart w:id="162" w:name="_Toc27204"/>
      <w:r>
        <w:rPr>
          <w:rFonts w:ascii="Times New Roman" w:hAnsi="Times New Roman" w:cs="Times New Roman"/>
        </w:rPr>
        <w:t>5.1  一般规定</w:t>
      </w:r>
      <w:bookmarkEnd w:id="161"/>
      <w:bookmarkEnd w:id="162"/>
    </w:p>
    <w:p>
      <w:r>
        <w:rPr>
          <w:rStyle w:val="22"/>
          <w:rFonts w:ascii="Times New Roman" w:hAnsi="Times New Roman" w:cs="Times New Roman"/>
        </w:rPr>
        <w:t>5.1.1</w:t>
      </w:r>
      <w:r>
        <w:rPr>
          <w:rFonts w:cs="Times New Roman"/>
        </w:rPr>
        <w:t>  </w:t>
      </w:r>
      <w:r>
        <w:t>编制装配式复合轻质墙体施工方案文件是保证装配式复合轻质墙体施工质量的有效措施。深化设计图中应标明墙面板和保温板的种类、规格尺寸；门、窗洞口的位置和尺寸；管线、配电箱、开关及插座底盒位置和尺寸。</w:t>
      </w:r>
    </w:p>
    <w:p>
      <w:r>
        <w:rPr>
          <w:rStyle w:val="22"/>
          <w:rFonts w:ascii="Times New Roman" w:hAnsi="Times New Roman" w:cs="Times New Roman"/>
        </w:rPr>
        <w:t>5.1.3</w:t>
      </w:r>
      <w:r>
        <w:rPr>
          <w:rFonts w:cs="Times New Roman"/>
        </w:rPr>
        <w:t xml:space="preserve">  </w:t>
      </w:r>
      <w:r>
        <w:t>本条规定了装配式复合轻质墙体的施工前人员培训和技术交底工作。施工前对安装人员进行专业知识和安装技能培训以及技术交底，是保证装配式复合轻质墙体工程质量的必要环节。</w:t>
      </w:r>
    </w:p>
    <w:p>
      <w:r>
        <w:rPr>
          <w:rStyle w:val="22"/>
          <w:rFonts w:ascii="Times New Roman" w:hAnsi="Times New Roman" w:cs="Times New Roman"/>
        </w:rPr>
        <w:t xml:space="preserve">5.1.4  </w:t>
      </w:r>
      <w:r>
        <w:t>本条对施工现场安全施工和劳动保护提出要求。目前装配式复合轻质墙体现场施工多采用人工作业，因此需加强安全施工教育，制定相关防护措施。</w:t>
      </w:r>
    </w:p>
    <w:p>
      <w:pPr>
        <w:snapToGrid w:val="0"/>
        <w:rPr>
          <w:rFonts w:cs="Times New Roman"/>
        </w:rPr>
      </w:pPr>
      <w:r>
        <w:rPr>
          <w:rStyle w:val="22"/>
          <w:rFonts w:ascii="Times New Roman" w:hAnsi="Times New Roman" w:cs="Times New Roman"/>
        </w:rPr>
        <w:t>5.1.5</w:t>
      </w:r>
      <w:r>
        <w:rPr>
          <w:rFonts w:cs="Times New Roman"/>
        </w:rPr>
        <w:t xml:space="preserve">  本规范仍以5℃作为进入或退出冬期施工的界限。因为冬期施工的影响因素较多，本条文仅强调施工企业应在规定温度下施工，如在低温条件下施工，需采取冬期施工措施。</w:t>
      </w:r>
    </w:p>
    <w:p>
      <w:r>
        <w:rPr>
          <w:rStyle w:val="22"/>
          <w:rFonts w:ascii="Times New Roman" w:hAnsi="Times New Roman" w:cs="Times New Roman"/>
        </w:rPr>
        <w:t>5.1.6</w:t>
      </w:r>
      <w:r>
        <w:rPr>
          <w:rFonts w:cs="Times New Roman"/>
        </w:rPr>
        <w:t xml:space="preserve">  </w:t>
      </w:r>
      <w:r>
        <w:t>在装配式复合轻质墙体施工过程中，对各工序进行验收并保存记录，特别是对隐蔽工程(管、线施工等)、防水层、防潮层进行验收和记录，有利于保证工程质量。</w:t>
      </w:r>
    </w:p>
    <w:p>
      <w:r>
        <w:rPr>
          <w:rStyle w:val="22"/>
          <w:rFonts w:ascii="Times New Roman" w:hAnsi="Times New Roman" w:cs="Times New Roman"/>
        </w:rPr>
        <w:t xml:space="preserve">5.1.7  </w:t>
      </w:r>
      <w:r>
        <w:t>本条规定了装配式复合轻质墙体的施工流程。测量放线时应标出墙框线和连接件定位线、标出每块墙面板安装的位置、门窗洞口位置，放线应清晰，位置应准确。</w:t>
      </w:r>
    </w:p>
    <w:p>
      <w:r>
        <w:rPr>
          <w:rStyle w:val="22"/>
          <w:rFonts w:ascii="Times New Roman" w:hAnsi="Times New Roman" w:cs="Times New Roman"/>
        </w:rPr>
        <w:t>5.1.8</w:t>
      </w:r>
      <w:r>
        <w:rPr>
          <w:rFonts w:cs="Times New Roman"/>
        </w:rPr>
        <w:t xml:space="preserve">  </w:t>
      </w:r>
      <w:r>
        <w:t>墙体垂直度、墙面平整度、洞口精确度的保障取决于连接件的安装精度。安装前应对测量放线成果进行验收，安装后应对连接件安装精度进行验收。</w:t>
      </w:r>
    </w:p>
    <w:p/>
    <w:p>
      <w:pPr>
        <w:pStyle w:val="4"/>
        <w:snapToGrid w:val="0"/>
        <w:spacing w:before="0" w:after="0" w:line="360" w:lineRule="auto"/>
        <w:rPr>
          <w:rFonts w:ascii="Times New Roman" w:hAnsi="Times New Roman" w:cs="Times New Roman"/>
        </w:rPr>
      </w:pPr>
      <w:bookmarkStart w:id="163" w:name="_Toc8958"/>
      <w:bookmarkStart w:id="164" w:name="_Toc25135"/>
      <w:r>
        <w:rPr>
          <w:rFonts w:ascii="Times New Roman" w:hAnsi="Times New Roman" w:cs="Times New Roman"/>
        </w:rPr>
        <w:t>5.2  预制构件安装</w:t>
      </w:r>
      <w:bookmarkEnd w:id="163"/>
      <w:bookmarkEnd w:id="164"/>
    </w:p>
    <w:p>
      <w:r>
        <w:rPr>
          <w:rStyle w:val="22"/>
          <w:rFonts w:ascii="Times New Roman" w:hAnsi="Times New Roman" w:cs="Times New Roman"/>
        </w:rPr>
        <w:t>5.</w:t>
      </w:r>
      <w:r>
        <w:rPr>
          <w:rStyle w:val="22"/>
          <w:rFonts w:hint="eastAsia" w:cs="Times New Roman"/>
        </w:rPr>
        <w:t>2</w:t>
      </w:r>
      <w:r>
        <w:rPr>
          <w:rStyle w:val="22"/>
          <w:rFonts w:ascii="Times New Roman" w:hAnsi="Times New Roman" w:cs="Times New Roman"/>
        </w:rPr>
        <w:t>.1</w:t>
      </w:r>
      <w:r>
        <w:rPr>
          <w:rFonts w:cs="Times New Roman"/>
        </w:rPr>
        <w:t>  </w:t>
      </w:r>
      <w:r>
        <w:t>本条规定主要是为了保护墙面板在堆码、运输、二次搬运过程中不发生破损。</w:t>
      </w:r>
    </w:p>
    <w:p/>
    <w:p>
      <w:pPr>
        <w:pStyle w:val="4"/>
        <w:snapToGrid w:val="0"/>
        <w:spacing w:before="0" w:after="0" w:line="360" w:lineRule="auto"/>
        <w:rPr>
          <w:rFonts w:ascii="Times New Roman" w:hAnsi="Times New Roman" w:cs="Times New Roman"/>
        </w:rPr>
      </w:pPr>
      <w:bookmarkStart w:id="165" w:name="_Toc16023"/>
      <w:bookmarkStart w:id="166" w:name="_Toc28170"/>
      <w:r>
        <w:rPr>
          <w:rFonts w:ascii="Times New Roman" w:hAnsi="Times New Roman" w:cs="Times New Roman"/>
        </w:rPr>
        <w:t>5.3  管线和保温</w:t>
      </w:r>
      <w:r>
        <w:rPr>
          <w:rFonts w:hint="eastAsia" w:ascii="Times New Roman" w:hAnsi="Times New Roman" w:cs="Times New Roman"/>
        </w:rPr>
        <w:t>板</w:t>
      </w:r>
      <w:r>
        <w:rPr>
          <w:rFonts w:ascii="Times New Roman" w:hAnsi="Times New Roman" w:cs="Times New Roman"/>
        </w:rPr>
        <w:t>安装</w:t>
      </w:r>
      <w:bookmarkEnd w:id="165"/>
      <w:bookmarkEnd w:id="166"/>
    </w:p>
    <w:p>
      <w:r>
        <w:rPr>
          <w:rStyle w:val="22"/>
          <w:rFonts w:ascii="Times New Roman" w:hAnsi="Times New Roman" w:cs="Times New Roman"/>
        </w:rPr>
        <w:t>5.3.2</w:t>
      </w:r>
      <w:r>
        <w:rPr>
          <w:rFonts w:cs="Times New Roman"/>
        </w:rPr>
        <w:t>  </w:t>
      </w:r>
      <w:r>
        <w:t>对开关盒、插座、配电箱等预留孔洞的预留方式作出了规定，通过工厂预留、使用配套底座，不仅可以提高现场安装效率，防止现场开孔产生扬尘和噪声污染，还可以减少建筑垃圾排放。</w:t>
      </w:r>
    </w:p>
    <w:p/>
    <w:p>
      <w:pPr>
        <w:pStyle w:val="4"/>
        <w:snapToGrid w:val="0"/>
        <w:spacing w:before="0" w:after="0" w:line="360" w:lineRule="auto"/>
        <w:rPr>
          <w:rFonts w:ascii="Times New Roman" w:hAnsi="Times New Roman" w:cs="Times New Roman"/>
        </w:rPr>
      </w:pPr>
      <w:bookmarkStart w:id="167" w:name="_Toc25117"/>
      <w:bookmarkStart w:id="168" w:name="_Toc25302"/>
      <w:r>
        <w:rPr>
          <w:rFonts w:ascii="Times New Roman" w:hAnsi="Times New Roman" w:cs="Times New Roman"/>
        </w:rPr>
        <w:t>5.4  工具式模板安装</w:t>
      </w:r>
      <w:bookmarkEnd w:id="167"/>
      <w:bookmarkEnd w:id="168"/>
    </w:p>
    <w:p>
      <w:r>
        <w:rPr>
          <w:rStyle w:val="22"/>
          <w:rFonts w:ascii="Times New Roman" w:hAnsi="Times New Roman" w:cs="Times New Roman"/>
        </w:rPr>
        <w:t>5.4.1</w:t>
      </w:r>
      <w:r>
        <w:rPr>
          <w:rFonts w:cs="Times New Roman"/>
        </w:rPr>
        <w:t>  </w:t>
      </w:r>
      <w:r>
        <w:t>装配式复合轻质墙体</w:t>
      </w:r>
      <w:r>
        <w:rPr>
          <w:rFonts w:hint="eastAsia"/>
        </w:rPr>
        <w:t>应先使用具有防水性能的注仓料进行防水防潮浇筑。</w:t>
      </w:r>
    </w:p>
    <w:p/>
    <w:p>
      <w:pPr>
        <w:pStyle w:val="4"/>
        <w:snapToGrid w:val="0"/>
        <w:spacing w:before="0" w:after="0" w:line="360" w:lineRule="auto"/>
        <w:rPr>
          <w:rFonts w:ascii="Times New Roman" w:hAnsi="Times New Roman" w:cs="Times New Roman"/>
        </w:rPr>
      </w:pPr>
      <w:bookmarkStart w:id="169" w:name="_Toc10097"/>
      <w:bookmarkStart w:id="170" w:name="_Toc30694"/>
      <w:r>
        <w:rPr>
          <w:rFonts w:ascii="Times New Roman" w:hAnsi="Times New Roman" w:cs="Times New Roman"/>
        </w:rPr>
        <w:t>5.5  </w:t>
      </w:r>
      <w:r>
        <w:rPr>
          <w:rFonts w:hint="eastAsia" w:ascii="Times New Roman" w:hAnsi="Times New Roman" w:cs="Times New Roman"/>
        </w:rPr>
        <w:t>注仓</w:t>
      </w:r>
      <w:r>
        <w:rPr>
          <w:rFonts w:ascii="Times New Roman" w:hAnsi="Times New Roman" w:cs="Times New Roman"/>
        </w:rPr>
        <w:t>料施工</w:t>
      </w:r>
      <w:bookmarkEnd w:id="169"/>
      <w:bookmarkEnd w:id="170"/>
    </w:p>
    <w:p>
      <w:r>
        <w:rPr>
          <w:rStyle w:val="22"/>
          <w:rFonts w:ascii="Times New Roman" w:hAnsi="Times New Roman" w:cs="Times New Roman"/>
        </w:rPr>
        <w:t>5.5.</w:t>
      </w:r>
      <w:r>
        <w:rPr>
          <w:rStyle w:val="22"/>
          <w:rFonts w:hint="eastAsia" w:ascii="Times New Roman" w:hAnsi="Times New Roman" w:cs="Times New Roman"/>
        </w:rPr>
        <w:t>1</w:t>
      </w:r>
      <w:r>
        <w:rPr>
          <w:rFonts w:cs="Times New Roman"/>
        </w:rPr>
        <w:t>  </w:t>
      </w:r>
      <w:r>
        <w:rPr>
          <w:rFonts w:hint="eastAsia"/>
        </w:rPr>
        <w:t>注仓</w:t>
      </w:r>
      <w:r>
        <w:t>料所用原料及发泡混凝土所用水泥灌装应采用自动抽送，拌送设备应全封闭自动冲洗，并配置废料回收、废水循环利用装置，做到无扬尘、建渣、废水排放。</w:t>
      </w:r>
    </w:p>
    <w:p>
      <w:r>
        <w:rPr>
          <w:rStyle w:val="22"/>
          <w:rFonts w:ascii="Times New Roman" w:hAnsi="Times New Roman" w:cs="Times New Roman"/>
        </w:rPr>
        <w:t>5.5.</w:t>
      </w:r>
      <w:r>
        <w:rPr>
          <w:rStyle w:val="22"/>
          <w:rFonts w:hint="eastAsia" w:ascii="Times New Roman" w:hAnsi="Times New Roman" w:cs="Times New Roman"/>
        </w:rPr>
        <w:t>2</w:t>
      </w:r>
      <w:r>
        <w:rPr>
          <w:rStyle w:val="22"/>
          <w:rFonts w:ascii="Times New Roman" w:hAnsi="Times New Roman" w:cs="Times New Roman"/>
        </w:rPr>
        <w:t xml:space="preserve"> </w:t>
      </w:r>
      <w:r>
        <w:rPr>
          <w:rFonts w:cs="Times New Roman"/>
        </w:rPr>
        <w:t> </w:t>
      </w:r>
      <w:r>
        <w:t>施工前应进行</w:t>
      </w:r>
      <w:r>
        <w:rPr>
          <w:rFonts w:hint="eastAsia"/>
        </w:rPr>
        <w:t>注仓料</w:t>
      </w:r>
      <w:r>
        <w:t>试配,确保其性能满足设计及施工要求。</w:t>
      </w:r>
    </w:p>
    <w:p>
      <w:r>
        <w:rPr>
          <w:rStyle w:val="22"/>
          <w:rFonts w:ascii="Times New Roman" w:hAnsi="Times New Roman" w:cs="Times New Roman"/>
        </w:rPr>
        <w:t xml:space="preserve">5.5.5 </w:t>
      </w:r>
      <w:r>
        <w:rPr>
          <w:rFonts w:cs="Times New Roman"/>
        </w:rPr>
        <w:t> </w:t>
      </w:r>
      <w:r>
        <w:t>本条对注仓料的泵送、浇筑、养护作出了规定。</w:t>
      </w:r>
    </w:p>
    <w:p/>
    <w:p>
      <w:pPr>
        <w:pStyle w:val="4"/>
        <w:snapToGrid w:val="0"/>
        <w:spacing w:before="0" w:after="0" w:line="360" w:lineRule="auto"/>
        <w:rPr>
          <w:rFonts w:ascii="Times New Roman" w:hAnsi="Times New Roman" w:cs="Times New Roman"/>
        </w:rPr>
      </w:pPr>
      <w:bookmarkStart w:id="171" w:name="_Toc20288"/>
      <w:bookmarkStart w:id="172" w:name="_Toc26810"/>
      <w:r>
        <w:rPr>
          <w:rFonts w:ascii="Times New Roman" w:hAnsi="Times New Roman" w:cs="Times New Roman"/>
        </w:rPr>
        <w:t>5.</w:t>
      </w:r>
      <w:r>
        <w:rPr>
          <w:rFonts w:hint="eastAsia" w:ascii="Times New Roman" w:hAnsi="Times New Roman" w:cs="Times New Roman"/>
        </w:rPr>
        <w:t>6</w:t>
      </w:r>
      <w:r>
        <w:rPr>
          <w:rFonts w:ascii="Times New Roman" w:hAnsi="Times New Roman" w:cs="Times New Roman"/>
        </w:rPr>
        <w:t>  </w:t>
      </w:r>
      <w:r>
        <w:rPr>
          <w:rFonts w:hint="eastAsia" w:ascii="Times New Roman" w:hAnsi="Times New Roman" w:cs="Times New Roman"/>
        </w:rPr>
        <w:t>绿色</w:t>
      </w:r>
      <w:r>
        <w:rPr>
          <w:rFonts w:ascii="Times New Roman" w:hAnsi="Times New Roman" w:cs="Times New Roman"/>
        </w:rPr>
        <w:t>施工</w:t>
      </w:r>
      <w:bookmarkEnd w:id="171"/>
      <w:bookmarkEnd w:id="172"/>
    </w:p>
    <w:p>
      <w:r>
        <w:rPr>
          <w:rStyle w:val="22"/>
          <w:rFonts w:ascii="Times New Roman" w:hAnsi="Times New Roman" w:cs="Times New Roman"/>
        </w:rPr>
        <w:t>5.</w:t>
      </w:r>
      <w:r>
        <w:rPr>
          <w:rStyle w:val="22"/>
          <w:rFonts w:hint="eastAsia" w:ascii="Times New Roman" w:hAnsi="Times New Roman" w:cs="Times New Roman"/>
        </w:rPr>
        <w:t>6</w:t>
      </w:r>
      <w:r>
        <w:rPr>
          <w:rStyle w:val="22"/>
          <w:rFonts w:ascii="Times New Roman" w:hAnsi="Times New Roman" w:cs="Times New Roman"/>
        </w:rPr>
        <w:t>.2</w:t>
      </w:r>
      <w:r>
        <w:rPr>
          <w:rFonts w:cs="Times New Roman"/>
        </w:rPr>
        <w:t>  </w:t>
      </w:r>
      <w:r>
        <w:t>对施工过程中产生的建筑垃圾进行分类，区分可循环使用和不可循环使用的材料，可促进资源节约和循环利用。</w:t>
      </w:r>
      <w:r>
        <w:rPr>
          <w:rFonts w:hint="eastAsia"/>
        </w:rPr>
        <w:t>施工单位应按照国家有关部门的规定，处置建筑垃圾，将不可循环使用的建筑垃圾集中收集，并及时清运至指定地点。</w:t>
      </w:r>
      <w:r>
        <w:t>对建筑垃圾进行数量或重量统计，可进一步掌握废弃物产生来源，为制定建筑垃圾减量化和循环利用方案提供基础数据。</w:t>
      </w:r>
    </w:p>
    <w:p>
      <w:r>
        <w:rPr>
          <w:rStyle w:val="22"/>
          <w:rFonts w:ascii="Times New Roman" w:hAnsi="Times New Roman" w:cs="Times New Roman"/>
        </w:rPr>
        <w:t>5.</w:t>
      </w:r>
      <w:r>
        <w:rPr>
          <w:rStyle w:val="22"/>
          <w:rFonts w:hint="eastAsia" w:ascii="Times New Roman" w:hAnsi="Times New Roman" w:cs="Times New Roman"/>
        </w:rPr>
        <w:t>6</w:t>
      </w:r>
      <w:r>
        <w:rPr>
          <w:rStyle w:val="22"/>
          <w:rFonts w:ascii="Times New Roman" w:hAnsi="Times New Roman" w:cs="Times New Roman"/>
        </w:rPr>
        <w:t>.3</w:t>
      </w:r>
      <w:r>
        <w:rPr>
          <w:rFonts w:cs="Times New Roman"/>
        </w:rPr>
        <w:t>  </w:t>
      </w:r>
      <w:r>
        <w:t>在施工中(尤其是在噪声敏感区域施工时)，要采取有效措施，降低施工噪声。根据现行国家标准《建筑施工场界噪声限值》GB 12523的规定：昼间为70dB(A声级)，夜间为55dB(A声级)。</w:t>
      </w:r>
    </w:p>
    <w:p>
      <w:pPr>
        <w:snapToGrid w:val="0"/>
        <w:rPr>
          <w:rFonts w:cs="Times New Roman"/>
        </w:rPr>
      </w:pPr>
      <w:r>
        <w:rPr>
          <w:rStyle w:val="22"/>
          <w:rFonts w:hint="eastAsia" w:ascii="Times New Roman" w:hAnsi="Times New Roman" w:cs="Times New Roman"/>
        </w:rPr>
        <w:t>5.6.5</w:t>
      </w:r>
      <w:r>
        <w:rPr>
          <w:rFonts w:cs="Times New Roman"/>
        </w:rPr>
        <w:t>  施工过程中，对施工设备和机具维修、运行、存储时的漏油，应采取有效的隔离措施，不得直接污染土壤。漏油应统一收集并进行无害化处理。</w:t>
      </w:r>
    </w:p>
    <w:p>
      <w:r>
        <w:rPr>
          <w:rStyle w:val="22"/>
          <w:rFonts w:hint="eastAsia" w:ascii="Times New Roman" w:hAnsi="Times New Roman" w:cs="Times New Roman"/>
        </w:rPr>
        <w:t>5.6.6</w:t>
      </w:r>
      <w:r>
        <w:rPr>
          <w:rFonts w:cs="Times New Roman"/>
        </w:rPr>
        <w:t>  </w:t>
      </w:r>
      <w:r>
        <w:t>目前市场上还存在着采用污染性较大甚至有毒的原材料生产的外加剂、养护剂，不仅在建筑施工时，而且在建筑使用时都可能危害环境和人身健康。因此要求外加剂、养护剂的使用应满足环保和健康要求。</w:t>
      </w:r>
    </w:p>
    <w:p>
      <w:pPr>
        <w:snapToGrid w:val="0"/>
        <w:rPr>
          <w:rFonts w:cs="Times New Roman"/>
        </w:rPr>
      </w:pPr>
    </w:p>
    <w:p>
      <w:pPr>
        <w:snapToGrid w:val="0"/>
        <w:rPr>
          <w:rFonts w:cs="Times New Roman"/>
        </w:rPr>
        <w:sectPr>
          <w:pgSz w:w="11906" w:h="16838"/>
          <w:pgMar w:top="1440" w:right="1800" w:bottom="1440" w:left="1800" w:header="851" w:footer="992" w:gutter="0"/>
          <w:cols w:space="425" w:num="1"/>
          <w:docGrid w:type="lines" w:linePitch="312" w:charSpace="0"/>
        </w:sectPr>
      </w:pPr>
    </w:p>
    <w:p>
      <w:pPr>
        <w:pStyle w:val="3"/>
        <w:snapToGrid w:val="0"/>
        <w:spacing w:before="0" w:after="0" w:line="360" w:lineRule="auto"/>
        <w:rPr>
          <w:rFonts w:ascii="Times New Roman" w:hAnsi="Times New Roman" w:cs="Times New Roman"/>
        </w:rPr>
      </w:pPr>
      <w:bookmarkStart w:id="173" w:name="_Toc6944"/>
      <w:bookmarkStart w:id="174" w:name="_Toc9697"/>
      <w:r>
        <w:rPr>
          <w:rFonts w:ascii="Times New Roman" w:hAnsi="Times New Roman" w:cs="Times New Roman"/>
        </w:rPr>
        <w:t>6  验  收</w:t>
      </w:r>
      <w:bookmarkEnd w:id="173"/>
      <w:bookmarkEnd w:id="174"/>
    </w:p>
    <w:p>
      <w:bookmarkStart w:id="175" w:name="_Toc11650"/>
    </w:p>
    <w:p>
      <w:pPr>
        <w:pStyle w:val="4"/>
        <w:snapToGrid w:val="0"/>
        <w:spacing w:before="0" w:after="0" w:line="360" w:lineRule="auto"/>
        <w:rPr>
          <w:rFonts w:ascii="Times New Roman" w:hAnsi="Times New Roman" w:cs="Times New Roman"/>
        </w:rPr>
      </w:pPr>
      <w:bookmarkStart w:id="176" w:name="_Toc8306"/>
      <w:r>
        <w:rPr>
          <w:rFonts w:ascii="Times New Roman" w:hAnsi="Times New Roman" w:cs="Times New Roman"/>
        </w:rPr>
        <w:t>6.1  一般规定</w:t>
      </w:r>
      <w:bookmarkEnd w:id="175"/>
      <w:bookmarkEnd w:id="176"/>
    </w:p>
    <w:p>
      <w:pPr>
        <w:snapToGrid w:val="0"/>
        <w:rPr>
          <w:rFonts w:cs="Times New Roman"/>
        </w:rPr>
      </w:pPr>
      <w:r>
        <w:rPr>
          <w:rStyle w:val="22"/>
          <w:rFonts w:ascii="Times New Roman" w:hAnsi="Times New Roman" w:cs="Times New Roman"/>
        </w:rPr>
        <w:t>6.1.1</w:t>
      </w:r>
      <w:r>
        <w:rPr>
          <w:rFonts w:cs="Times New Roman"/>
        </w:rPr>
        <w:t>  墙体工程可分为测量放线、连接件安装、墙面板安装、轻混凝土浇筑等分项工程。实际验收中，可将分项工程进一步划分为若干检验批。</w:t>
      </w:r>
    </w:p>
    <w:p>
      <w:pPr>
        <w:snapToGrid w:val="0"/>
      </w:pPr>
      <w:r>
        <w:rPr>
          <w:rStyle w:val="22"/>
          <w:rFonts w:ascii="Times New Roman" w:hAnsi="Times New Roman" w:cs="Times New Roman"/>
        </w:rPr>
        <w:t>6.1.</w:t>
      </w:r>
      <w:r>
        <w:rPr>
          <w:rStyle w:val="22"/>
          <w:rFonts w:hint="eastAsia" w:ascii="Times New Roman" w:hAnsi="Times New Roman" w:cs="Times New Roman"/>
        </w:rPr>
        <w:t>2</w:t>
      </w:r>
      <w:r>
        <w:rPr>
          <w:rFonts w:cs="Times New Roman"/>
        </w:rPr>
        <w:t>  </w:t>
      </w:r>
      <w:r>
        <w:t>检验批的划分参照了现行国家标准《建筑装饰装修工程质量验收规范》GB50210的规定。</w:t>
      </w:r>
    </w:p>
    <w:p>
      <w:pPr>
        <w:snapToGrid w:val="0"/>
      </w:pPr>
      <w:r>
        <w:rPr>
          <w:rStyle w:val="22"/>
          <w:rFonts w:ascii="Times New Roman" w:hAnsi="Times New Roman" w:cs="Times New Roman"/>
        </w:rPr>
        <w:t>6.1.</w:t>
      </w:r>
      <w:r>
        <w:rPr>
          <w:rStyle w:val="22"/>
          <w:rFonts w:hint="eastAsia" w:ascii="Times New Roman" w:hAnsi="Times New Roman" w:cs="Times New Roman"/>
        </w:rPr>
        <w:t>3</w:t>
      </w:r>
      <w:r>
        <w:rPr>
          <w:rFonts w:cs="Times New Roman"/>
        </w:rPr>
        <w:t>  </w:t>
      </w:r>
      <w:r>
        <w:t>根据现行国家标准《建筑工程施工质量验收统一标准》GB50300规定了检验批合格质量的有关要求。</w:t>
      </w:r>
    </w:p>
    <w:p>
      <w:pPr>
        <w:snapToGrid w:val="0"/>
      </w:pPr>
      <w:r>
        <w:rPr>
          <w:rStyle w:val="22"/>
          <w:rFonts w:ascii="Times New Roman" w:hAnsi="Times New Roman" w:cs="Times New Roman"/>
        </w:rPr>
        <w:t>6.1.</w:t>
      </w:r>
      <w:r>
        <w:rPr>
          <w:rStyle w:val="22"/>
          <w:rFonts w:hint="eastAsia" w:ascii="Times New Roman" w:hAnsi="Times New Roman" w:cs="Times New Roman"/>
        </w:rPr>
        <w:t>4</w:t>
      </w:r>
      <w:r>
        <w:rPr>
          <w:rFonts w:cs="Times New Roman"/>
        </w:rPr>
        <w:t>  </w:t>
      </w:r>
      <w:r>
        <w:t>本条规定了装配式复合轻质墙体验收时检查的资料。</w:t>
      </w:r>
    </w:p>
    <w:p>
      <w:pPr>
        <w:snapToGrid w:val="0"/>
      </w:pPr>
      <w:r>
        <w:rPr>
          <w:rStyle w:val="22"/>
          <w:rFonts w:ascii="Times New Roman" w:hAnsi="Times New Roman" w:cs="Times New Roman"/>
        </w:rPr>
        <w:t>6.1.</w:t>
      </w:r>
      <w:r>
        <w:rPr>
          <w:rStyle w:val="22"/>
          <w:rFonts w:hint="eastAsia" w:ascii="Times New Roman" w:hAnsi="Times New Roman" w:cs="Times New Roman"/>
        </w:rPr>
        <w:t>5</w:t>
      </w:r>
      <w:r>
        <w:rPr>
          <w:rFonts w:cs="Times New Roman"/>
        </w:rPr>
        <w:t>  </w:t>
      </w:r>
      <w:r>
        <w:t>工具式模板安装后墙中配件、管线、保温板等无法检查。因此，规定应在工具式模板安装前进行隐蔽工程验收。</w:t>
      </w:r>
    </w:p>
    <w:p>
      <w:pPr>
        <w:snapToGrid w:val="0"/>
      </w:pPr>
    </w:p>
    <w:p>
      <w:pPr>
        <w:pStyle w:val="4"/>
        <w:snapToGrid w:val="0"/>
        <w:spacing w:before="0" w:after="0" w:line="360" w:lineRule="auto"/>
        <w:rPr>
          <w:rFonts w:ascii="Times New Roman" w:hAnsi="Times New Roman" w:cs="Times New Roman"/>
        </w:rPr>
      </w:pPr>
      <w:bookmarkStart w:id="177" w:name="_Toc5254"/>
      <w:bookmarkStart w:id="178" w:name="_Toc14302"/>
      <w:r>
        <w:rPr>
          <w:rFonts w:ascii="Times New Roman" w:hAnsi="Times New Roman" w:cs="Times New Roman"/>
        </w:rPr>
        <w:t>6.2  连接件</w:t>
      </w:r>
      <w:bookmarkEnd w:id="177"/>
      <w:bookmarkEnd w:id="178"/>
    </w:p>
    <w:p>
      <w:pPr>
        <w:snapToGrid w:val="0"/>
        <w:jc w:val="center"/>
        <w:rPr>
          <w:rFonts w:ascii="仿宋_GB2312" w:eastAsia="仿宋_GB2312" w:cs="Times New Roman"/>
        </w:rPr>
      </w:pPr>
      <w:r>
        <w:rPr>
          <w:rFonts w:hint="eastAsia" w:ascii="仿宋_GB2312" w:eastAsia="仿宋_GB2312" w:cs="Times New Roman"/>
        </w:rPr>
        <w:t>（I）连接件进场检验</w:t>
      </w:r>
    </w:p>
    <w:p>
      <w:pPr>
        <w:snapToGrid w:val="0"/>
        <w:rPr>
          <w:rFonts w:cs="Times New Roman"/>
        </w:rPr>
      </w:pPr>
      <w:r>
        <w:rPr>
          <w:rStyle w:val="22"/>
          <w:rFonts w:ascii="Times New Roman" w:hAnsi="Times New Roman" w:cs="Times New Roman"/>
        </w:rPr>
        <w:t>6.2.1</w:t>
      </w:r>
      <w:r>
        <w:rPr>
          <w:rFonts w:hint="eastAsia"/>
          <w:b/>
          <w:bCs/>
        </w:rPr>
        <w:t>~</w:t>
      </w:r>
      <w:r>
        <w:rPr>
          <w:rStyle w:val="22"/>
          <w:rFonts w:ascii="Times New Roman" w:hAnsi="Times New Roman" w:cs="Times New Roman"/>
        </w:rPr>
        <w:t>6.2.4</w:t>
      </w:r>
      <w:r>
        <w:rPr>
          <w:rFonts w:cs="Times New Roman"/>
        </w:rPr>
        <w:t>  规定了连接件进场时，抗拉强度、延伸率、镀锌量、外观和尺寸检查验收的要求。</w:t>
      </w:r>
    </w:p>
    <w:p>
      <w:pPr>
        <w:snapToGrid w:val="0"/>
        <w:jc w:val="center"/>
        <w:rPr>
          <w:rFonts w:ascii="仿宋_GB2312" w:eastAsia="仿宋_GB2312" w:cs="Times New Roman"/>
        </w:rPr>
      </w:pPr>
      <w:r>
        <w:rPr>
          <w:rFonts w:ascii="仿宋_GB2312" w:eastAsia="仿宋_GB2312" w:cs="Times New Roman"/>
        </w:rPr>
        <w:t>（II）连接件安装</w:t>
      </w:r>
    </w:p>
    <w:p>
      <w:r>
        <w:rPr>
          <w:rStyle w:val="22"/>
          <w:rFonts w:ascii="Times New Roman" w:hAnsi="Times New Roman" w:cs="Times New Roman"/>
        </w:rPr>
        <w:t>6.2.5</w:t>
      </w:r>
      <w:r>
        <w:rPr>
          <w:rFonts w:cs="Times New Roman"/>
        </w:rPr>
        <w:t>  </w:t>
      </w:r>
      <w:r>
        <w:t>本条规定了连接件的安装质量验收要求。</w:t>
      </w:r>
    </w:p>
    <w:p/>
    <w:p>
      <w:pPr>
        <w:pStyle w:val="4"/>
        <w:snapToGrid w:val="0"/>
        <w:spacing w:before="0" w:after="0" w:line="360" w:lineRule="auto"/>
        <w:rPr>
          <w:rFonts w:ascii="Times New Roman" w:hAnsi="Times New Roman" w:cs="Times New Roman"/>
        </w:rPr>
      </w:pPr>
      <w:bookmarkStart w:id="179" w:name="_Toc17520"/>
      <w:bookmarkStart w:id="180" w:name="_Toc17581"/>
      <w:r>
        <w:rPr>
          <w:rFonts w:ascii="Times New Roman" w:hAnsi="Times New Roman" w:cs="Times New Roman"/>
        </w:rPr>
        <w:t>6.3  </w:t>
      </w:r>
      <w:r>
        <w:rPr>
          <w:rFonts w:hint="eastAsia" w:ascii="Times New Roman" w:hAnsi="Times New Roman" w:cs="Times New Roman"/>
        </w:rPr>
        <w:t>预制</w:t>
      </w:r>
      <w:r>
        <w:rPr>
          <w:rFonts w:ascii="Times New Roman" w:hAnsi="Times New Roman" w:cs="Times New Roman"/>
        </w:rPr>
        <w:t>构件</w:t>
      </w:r>
      <w:bookmarkEnd w:id="179"/>
      <w:bookmarkEnd w:id="180"/>
    </w:p>
    <w:p>
      <w:pPr>
        <w:snapToGrid w:val="0"/>
        <w:jc w:val="center"/>
        <w:rPr>
          <w:rFonts w:ascii="仿宋_GB2312" w:eastAsia="仿宋_GB2312" w:cs="Times New Roman"/>
        </w:rPr>
      </w:pPr>
      <w:r>
        <w:rPr>
          <w:rFonts w:hint="eastAsia" w:ascii="仿宋_GB2312" w:eastAsia="仿宋_GB2312" w:cs="Times New Roman"/>
        </w:rPr>
        <w:t>（I）预制构件进场检验</w:t>
      </w:r>
    </w:p>
    <w:p>
      <w:r>
        <w:rPr>
          <w:rStyle w:val="22"/>
          <w:rFonts w:ascii="Times New Roman" w:hAnsi="Times New Roman" w:cs="Times New Roman"/>
        </w:rPr>
        <w:t>6.3.1</w:t>
      </w:r>
      <w:r>
        <w:rPr>
          <w:rFonts w:hint="eastAsia"/>
          <w:b/>
          <w:bCs/>
        </w:rPr>
        <w:t>~</w:t>
      </w:r>
      <w:r>
        <w:rPr>
          <w:rStyle w:val="22"/>
          <w:rFonts w:ascii="Times New Roman" w:hAnsi="Times New Roman" w:cs="Times New Roman"/>
        </w:rPr>
        <w:t>6.3.4 </w:t>
      </w:r>
      <w:r>
        <w:rPr>
          <w:rFonts w:cs="Times New Roman"/>
        </w:rPr>
        <w:t> </w:t>
      </w:r>
      <w:r>
        <w:t>规定了墙面板进场验收要求，包括强度、外观质量、形状尺寸偏差和预留孔洞偏差。</w:t>
      </w:r>
    </w:p>
    <w:p>
      <w:pPr>
        <w:snapToGrid w:val="0"/>
        <w:jc w:val="center"/>
        <w:rPr>
          <w:rFonts w:ascii="仿宋_GB2312" w:eastAsia="仿宋_GB2312" w:cs="Times New Roman"/>
        </w:rPr>
      </w:pPr>
      <w:r>
        <w:rPr>
          <w:rFonts w:hint="eastAsia" w:ascii="仿宋_GB2312" w:eastAsia="仿宋_GB2312" w:cs="Times New Roman"/>
        </w:rPr>
        <w:t>（II）预制构件安装质量验收</w:t>
      </w:r>
    </w:p>
    <w:p>
      <w:r>
        <w:rPr>
          <w:rStyle w:val="22"/>
          <w:rFonts w:ascii="Times New Roman" w:hAnsi="Times New Roman" w:cs="Times New Roman"/>
        </w:rPr>
        <w:t>6.3.5</w:t>
      </w:r>
      <w:r>
        <w:rPr>
          <w:rFonts w:hint="eastAsia"/>
          <w:b/>
          <w:bCs/>
        </w:rPr>
        <w:t>~</w:t>
      </w:r>
      <w:r>
        <w:rPr>
          <w:rStyle w:val="22"/>
          <w:rFonts w:ascii="Times New Roman" w:hAnsi="Times New Roman" w:cs="Times New Roman"/>
        </w:rPr>
        <w:t>6.3.8</w:t>
      </w:r>
      <w:r>
        <w:rPr>
          <w:rFonts w:cs="Times New Roman"/>
        </w:rPr>
        <w:t>  </w:t>
      </w:r>
      <w:r>
        <w:t>规定了墙面板的安装质量验收要求。</w:t>
      </w:r>
    </w:p>
    <w:p/>
    <w:p>
      <w:pPr>
        <w:pStyle w:val="4"/>
        <w:snapToGrid w:val="0"/>
        <w:spacing w:before="0" w:after="0" w:line="360" w:lineRule="auto"/>
        <w:rPr>
          <w:rFonts w:ascii="Times New Roman" w:hAnsi="Times New Roman" w:cs="Times New Roman"/>
        </w:rPr>
      </w:pPr>
      <w:bookmarkStart w:id="181" w:name="_Toc1923"/>
      <w:bookmarkStart w:id="182" w:name="_Toc11196"/>
      <w:r>
        <w:rPr>
          <w:rFonts w:ascii="Times New Roman" w:hAnsi="Times New Roman" w:cs="Times New Roman"/>
        </w:rPr>
        <w:t>6.4  保温</w:t>
      </w:r>
      <w:bookmarkEnd w:id="181"/>
      <w:r>
        <w:rPr>
          <w:rFonts w:hint="eastAsia" w:ascii="Times New Roman" w:hAnsi="Times New Roman" w:cs="Times New Roman"/>
        </w:rPr>
        <w:t>板</w:t>
      </w:r>
      <w:bookmarkEnd w:id="182"/>
    </w:p>
    <w:p>
      <w:pPr>
        <w:rPr>
          <w:rFonts w:ascii="楷体" w:hAnsi="楷体" w:eastAsia="楷体" w:cs="Times New Roman"/>
        </w:rPr>
      </w:pPr>
      <w:r>
        <w:rPr>
          <w:rStyle w:val="22"/>
          <w:rFonts w:ascii="Times New Roman" w:hAnsi="Times New Roman" w:cs="Times New Roman"/>
        </w:rPr>
        <w:t>6.4.1</w:t>
      </w:r>
      <w:r>
        <w:rPr>
          <w:rFonts w:cs="Times New Roman"/>
        </w:rPr>
        <w:t>  保温</w:t>
      </w:r>
      <w:r>
        <w:rPr>
          <w:rFonts w:hint="eastAsia" w:cs="Times New Roman"/>
        </w:rPr>
        <w:t>板</w:t>
      </w:r>
      <w:r>
        <w:t>密度直接影响其导热系数，是</w:t>
      </w:r>
      <w:r>
        <w:rPr>
          <w:rFonts w:cs="Times New Roman"/>
        </w:rPr>
        <w:t>保温</w:t>
      </w:r>
      <w:r>
        <w:rPr>
          <w:rFonts w:hint="eastAsia" w:cs="Times New Roman"/>
        </w:rPr>
        <w:t>板</w:t>
      </w:r>
      <w:r>
        <w:t>核心指标，进场时应进行抽检。</w:t>
      </w:r>
      <w:r>
        <w:rPr>
          <w:rFonts w:ascii="楷体" w:hAnsi="楷体" w:eastAsia="楷体" w:cs="Times New Roman"/>
          <w:color w:val="000000"/>
          <w:kern w:val="0"/>
          <w:lang w:bidi="ar"/>
        </w:rPr>
        <w:t xml:space="preserve"> </w:t>
      </w:r>
    </w:p>
    <w:p>
      <w:pPr>
        <w:pStyle w:val="4"/>
        <w:snapToGrid w:val="0"/>
        <w:spacing w:before="0" w:after="0" w:line="360" w:lineRule="auto"/>
        <w:rPr>
          <w:rFonts w:ascii="Times New Roman" w:hAnsi="Times New Roman" w:cs="Times New Roman"/>
        </w:rPr>
      </w:pPr>
      <w:bookmarkStart w:id="183" w:name="_Toc195"/>
      <w:bookmarkStart w:id="184" w:name="_Toc31247"/>
      <w:r>
        <w:rPr>
          <w:rFonts w:ascii="Times New Roman" w:hAnsi="Times New Roman" w:cs="Times New Roman"/>
        </w:rPr>
        <w:t>6.5  </w:t>
      </w:r>
      <w:r>
        <w:rPr>
          <w:rFonts w:hint="eastAsia" w:ascii="Times New Roman" w:hAnsi="Times New Roman" w:cs="Times New Roman"/>
        </w:rPr>
        <w:t>注仓</w:t>
      </w:r>
      <w:r>
        <w:rPr>
          <w:rFonts w:ascii="Times New Roman" w:hAnsi="Times New Roman" w:cs="Times New Roman"/>
        </w:rPr>
        <w:t>料</w:t>
      </w:r>
      <w:bookmarkEnd w:id="183"/>
      <w:bookmarkEnd w:id="184"/>
    </w:p>
    <w:p>
      <w:r>
        <w:rPr>
          <w:b/>
          <w:bCs/>
        </w:rPr>
        <w:t>6.5.1</w:t>
      </w:r>
      <w:r>
        <w:t>  检查浆体密度是为了控制注仓料的表观密度及强度。</w:t>
      </w:r>
    </w:p>
    <w:p>
      <w:r>
        <w:rPr>
          <w:b/>
          <w:bCs/>
        </w:rPr>
        <w:t>6.5.2</w:t>
      </w:r>
      <w:r>
        <w:t>  墙体是非结构构件,注仓料强度放宽抽检标准,确定200m</w:t>
      </w:r>
      <w:r>
        <w:rPr>
          <w:rFonts w:hint="eastAsia"/>
        </w:rPr>
        <w:t>³</w:t>
      </w:r>
      <w:r>
        <w:t>抽检一次</w:t>
      </w:r>
    </w:p>
    <w:p>
      <w:r>
        <w:rPr>
          <w:b/>
          <w:bCs/>
        </w:rPr>
        <w:t>6.5.3</w:t>
      </w:r>
      <w:r>
        <w:t>  </w:t>
      </w:r>
      <w:r>
        <w:rPr>
          <w:rFonts w:hint="eastAsia"/>
        </w:rPr>
        <w:t>注仓料拌和物发生离析,将影响其和易性和匀质性,以及硬化后的强度。</w:t>
      </w:r>
      <w:r>
        <w:t xml:space="preserve"> </w:t>
      </w:r>
    </w:p>
    <w:p>
      <w:pPr>
        <w:pStyle w:val="2"/>
      </w:pPr>
    </w:p>
    <w:p>
      <w:pPr>
        <w:pStyle w:val="4"/>
        <w:snapToGrid w:val="0"/>
        <w:spacing w:before="0" w:after="0" w:line="360" w:lineRule="auto"/>
        <w:rPr>
          <w:rFonts w:ascii="Times New Roman" w:hAnsi="Times New Roman" w:cs="Times New Roman"/>
        </w:rPr>
      </w:pPr>
      <w:bookmarkStart w:id="185" w:name="_Toc16578"/>
      <w:bookmarkStart w:id="186" w:name="_Toc23749"/>
      <w:r>
        <w:rPr>
          <w:rFonts w:ascii="Times New Roman" w:hAnsi="Times New Roman" w:cs="Times New Roman"/>
        </w:rPr>
        <w:t>6.6  墙体工程</w:t>
      </w:r>
      <w:bookmarkEnd w:id="185"/>
      <w:bookmarkEnd w:id="186"/>
    </w:p>
    <w:p>
      <w:r>
        <w:rPr>
          <w:rStyle w:val="22"/>
          <w:rFonts w:ascii="Times New Roman" w:hAnsi="Times New Roman" w:cs="Times New Roman"/>
        </w:rPr>
        <w:t>6.</w:t>
      </w:r>
      <w:r>
        <w:rPr>
          <w:rStyle w:val="22"/>
          <w:rFonts w:hint="eastAsia" w:ascii="Times New Roman" w:hAnsi="Times New Roman" w:cs="Times New Roman"/>
        </w:rPr>
        <w:t>6</w:t>
      </w:r>
      <w:r>
        <w:rPr>
          <w:rStyle w:val="22"/>
          <w:rFonts w:ascii="Times New Roman" w:hAnsi="Times New Roman" w:cs="Times New Roman"/>
        </w:rPr>
        <w:t>.</w:t>
      </w:r>
      <w:r>
        <w:rPr>
          <w:rStyle w:val="22"/>
          <w:rFonts w:hint="eastAsia" w:ascii="Times New Roman" w:hAnsi="Times New Roman" w:cs="Times New Roman"/>
        </w:rPr>
        <w:t>1</w:t>
      </w:r>
      <w:r>
        <w:rPr>
          <w:rFonts w:cs="Times New Roman"/>
        </w:rPr>
        <w:t>  </w:t>
      </w:r>
      <w:r>
        <w:t>装配式复合轻质墙体检验批的划分参照了现行国家标准《建筑装饰装修工程质量验收</w:t>
      </w:r>
      <w:r>
        <w:rPr>
          <w:rFonts w:hint="eastAsia"/>
        </w:rPr>
        <w:t>标准</w:t>
      </w:r>
      <w:r>
        <w:t>》GB50210的规定。</w:t>
      </w:r>
    </w:p>
    <w:p>
      <w:pPr>
        <w:pStyle w:val="2"/>
        <w:rPr>
          <w:rFonts w:cs="Times New Roman"/>
        </w:rPr>
      </w:pPr>
      <w:r>
        <w:rPr>
          <w:b/>
          <w:bCs/>
        </w:rPr>
        <w:t>6.6.</w:t>
      </w:r>
      <w:r>
        <w:rPr>
          <w:rFonts w:hint="eastAsia"/>
          <w:b/>
          <w:bCs/>
        </w:rPr>
        <w:t>2</w:t>
      </w:r>
      <w:r>
        <w:t>  敲击法是检查空鼓的简便有效方法,通常需要检验者有一定的经验。若需要进一步的精确检测，可借助专用的仪器设备。</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sdt>
      <w:sdtPr>
        <w:id w:val="-22936417"/>
      </w:sdt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j4t8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Pi3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KA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gfkSg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usZ8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s3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DusZ8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5D1DEC"/>
    <w:multiLevelType w:val="singleLevel"/>
    <w:tmpl w:val="5F5D1DE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0MGU4MGI1MGQ4NjQ1ZTkwNTJhNWNkYzVkODNmYmIifQ=="/>
  </w:docVars>
  <w:rsids>
    <w:rsidRoot w:val="16AB01D2"/>
    <w:rsid w:val="00010E05"/>
    <w:rsid w:val="0001541E"/>
    <w:rsid w:val="00064503"/>
    <w:rsid w:val="00070A9B"/>
    <w:rsid w:val="00073259"/>
    <w:rsid w:val="00075337"/>
    <w:rsid w:val="00090073"/>
    <w:rsid w:val="000B777F"/>
    <w:rsid w:val="000D5FC7"/>
    <w:rsid w:val="000D7C92"/>
    <w:rsid w:val="000F6D92"/>
    <w:rsid w:val="00112E97"/>
    <w:rsid w:val="0013228A"/>
    <w:rsid w:val="001322F4"/>
    <w:rsid w:val="0013748D"/>
    <w:rsid w:val="00141101"/>
    <w:rsid w:val="00152083"/>
    <w:rsid w:val="00170705"/>
    <w:rsid w:val="00184EFA"/>
    <w:rsid w:val="001B07C3"/>
    <w:rsid w:val="001B293E"/>
    <w:rsid w:val="001C77AD"/>
    <w:rsid w:val="001D3726"/>
    <w:rsid w:val="001D7623"/>
    <w:rsid w:val="001E77BC"/>
    <w:rsid w:val="001F779E"/>
    <w:rsid w:val="00227CB9"/>
    <w:rsid w:val="00235A16"/>
    <w:rsid w:val="00236222"/>
    <w:rsid w:val="00242BDC"/>
    <w:rsid w:val="002439D6"/>
    <w:rsid w:val="002457E8"/>
    <w:rsid w:val="0025218A"/>
    <w:rsid w:val="002621EC"/>
    <w:rsid w:val="002622B5"/>
    <w:rsid w:val="00273DCB"/>
    <w:rsid w:val="00275F85"/>
    <w:rsid w:val="00276F9E"/>
    <w:rsid w:val="0028261B"/>
    <w:rsid w:val="002A4D6E"/>
    <w:rsid w:val="002B4965"/>
    <w:rsid w:val="002C091F"/>
    <w:rsid w:val="002C0A3B"/>
    <w:rsid w:val="002C7149"/>
    <w:rsid w:val="002D60FC"/>
    <w:rsid w:val="002D6893"/>
    <w:rsid w:val="002E47CD"/>
    <w:rsid w:val="003112D4"/>
    <w:rsid w:val="00336AD6"/>
    <w:rsid w:val="00342685"/>
    <w:rsid w:val="00375669"/>
    <w:rsid w:val="00375766"/>
    <w:rsid w:val="003776D1"/>
    <w:rsid w:val="003935FF"/>
    <w:rsid w:val="0042756A"/>
    <w:rsid w:val="00440BC7"/>
    <w:rsid w:val="00443BA7"/>
    <w:rsid w:val="00460BD0"/>
    <w:rsid w:val="00462DB5"/>
    <w:rsid w:val="00470545"/>
    <w:rsid w:val="0047367C"/>
    <w:rsid w:val="00474F3D"/>
    <w:rsid w:val="00482006"/>
    <w:rsid w:val="00494DB1"/>
    <w:rsid w:val="004A2E19"/>
    <w:rsid w:val="004B7207"/>
    <w:rsid w:val="004E7E4F"/>
    <w:rsid w:val="004F336E"/>
    <w:rsid w:val="00526416"/>
    <w:rsid w:val="00526C05"/>
    <w:rsid w:val="0057301A"/>
    <w:rsid w:val="005770FF"/>
    <w:rsid w:val="005823F4"/>
    <w:rsid w:val="005D363C"/>
    <w:rsid w:val="005F1E5A"/>
    <w:rsid w:val="005F7875"/>
    <w:rsid w:val="00604BF3"/>
    <w:rsid w:val="00614296"/>
    <w:rsid w:val="00617A67"/>
    <w:rsid w:val="00623626"/>
    <w:rsid w:val="00634422"/>
    <w:rsid w:val="00637B83"/>
    <w:rsid w:val="00654BB9"/>
    <w:rsid w:val="00662072"/>
    <w:rsid w:val="00665AF3"/>
    <w:rsid w:val="00674EE7"/>
    <w:rsid w:val="006A4FE3"/>
    <w:rsid w:val="006B63FA"/>
    <w:rsid w:val="006D70A2"/>
    <w:rsid w:val="006F53A9"/>
    <w:rsid w:val="006F580B"/>
    <w:rsid w:val="007043CA"/>
    <w:rsid w:val="007071EF"/>
    <w:rsid w:val="007220C7"/>
    <w:rsid w:val="00725992"/>
    <w:rsid w:val="007548E9"/>
    <w:rsid w:val="007849B9"/>
    <w:rsid w:val="007A598D"/>
    <w:rsid w:val="007B12F1"/>
    <w:rsid w:val="007C7F34"/>
    <w:rsid w:val="00800C62"/>
    <w:rsid w:val="0080600D"/>
    <w:rsid w:val="00830D9B"/>
    <w:rsid w:val="008512E1"/>
    <w:rsid w:val="00855DB8"/>
    <w:rsid w:val="00877F25"/>
    <w:rsid w:val="00897CAF"/>
    <w:rsid w:val="00897CE9"/>
    <w:rsid w:val="008B04D3"/>
    <w:rsid w:val="008B2B0D"/>
    <w:rsid w:val="008B3F8F"/>
    <w:rsid w:val="00921BDD"/>
    <w:rsid w:val="009263F8"/>
    <w:rsid w:val="00941871"/>
    <w:rsid w:val="009479F2"/>
    <w:rsid w:val="00996443"/>
    <w:rsid w:val="009A152A"/>
    <w:rsid w:val="009B348E"/>
    <w:rsid w:val="009B5ABA"/>
    <w:rsid w:val="009C5912"/>
    <w:rsid w:val="009C6EB8"/>
    <w:rsid w:val="009E6CAA"/>
    <w:rsid w:val="009F028E"/>
    <w:rsid w:val="00A01F23"/>
    <w:rsid w:val="00A05217"/>
    <w:rsid w:val="00A132C0"/>
    <w:rsid w:val="00A34506"/>
    <w:rsid w:val="00A34D76"/>
    <w:rsid w:val="00A34E59"/>
    <w:rsid w:val="00A63C16"/>
    <w:rsid w:val="00A74617"/>
    <w:rsid w:val="00A750A8"/>
    <w:rsid w:val="00A8654C"/>
    <w:rsid w:val="00A96E82"/>
    <w:rsid w:val="00AA60B5"/>
    <w:rsid w:val="00AA7F31"/>
    <w:rsid w:val="00AB3FF4"/>
    <w:rsid w:val="00AC0B99"/>
    <w:rsid w:val="00AE5616"/>
    <w:rsid w:val="00B062E0"/>
    <w:rsid w:val="00B077C3"/>
    <w:rsid w:val="00B16C58"/>
    <w:rsid w:val="00B20B5F"/>
    <w:rsid w:val="00B30E57"/>
    <w:rsid w:val="00B40EF5"/>
    <w:rsid w:val="00B67D02"/>
    <w:rsid w:val="00B7337F"/>
    <w:rsid w:val="00B84057"/>
    <w:rsid w:val="00B846CA"/>
    <w:rsid w:val="00BA0DF5"/>
    <w:rsid w:val="00BC429C"/>
    <w:rsid w:val="00BD3006"/>
    <w:rsid w:val="00BF4E07"/>
    <w:rsid w:val="00C37541"/>
    <w:rsid w:val="00C40D56"/>
    <w:rsid w:val="00C53A19"/>
    <w:rsid w:val="00C563A7"/>
    <w:rsid w:val="00C56DC7"/>
    <w:rsid w:val="00C84515"/>
    <w:rsid w:val="00C912B3"/>
    <w:rsid w:val="00C92689"/>
    <w:rsid w:val="00CB7FD5"/>
    <w:rsid w:val="00CF172C"/>
    <w:rsid w:val="00CF6280"/>
    <w:rsid w:val="00CF7BE1"/>
    <w:rsid w:val="00D96ECF"/>
    <w:rsid w:val="00DA428D"/>
    <w:rsid w:val="00DC2E32"/>
    <w:rsid w:val="00E10EDF"/>
    <w:rsid w:val="00E14E64"/>
    <w:rsid w:val="00E33F48"/>
    <w:rsid w:val="00E56C40"/>
    <w:rsid w:val="00E67339"/>
    <w:rsid w:val="00E726D3"/>
    <w:rsid w:val="00E86FC9"/>
    <w:rsid w:val="00E9058C"/>
    <w:rsid w:val="00EA1F59"/>
    <w:rsid w:val="00EB36C2"/>
    <w:rsid w:val="00EB60B2"/>
    <w:rsid w:val="00EB703E"/>
    <w:rsid w:val="00EC743C"/>
    <w:rsid w:val="00F15CA6"/>
    <w:rsid w:val="00F2266F"/>
    <w:rsid w:val="00F3627C"/>
    <w:rsid w:val="00F441A6"/>
    <w:rsid w:val="00F458F4"/>
    <w:rsid w:val="00F532C8"/>
    <w:rsid w:val="00F5625D"/>
    <w:rsid w:val="00F75FE2"/>
    <w:rsid w:val="00F80AED"/>
    <w:rsid w:val="00F913CF"/>
    <w:rsid w:val="00F93D7B"/>
    <w:rsid w:val="00FB0AD4"/>
    <w:rsid w:val="00FB0ECD"/>
    <w:rsid w:val="00FB2622"/>
    <w:rsid w:val="00FC2B09"/>
    <w:rsid w:val="00FC605A"/>
    <w:rsid w:val="00FE77D3"/>
    <w:rsid w:val="00FF2E98"/>
    <w:rsid w:val="00FF5B4F"/>
    <w:rsid w:val="00FF5CA0"/>
    <w:rsid w:val="00FF7F78"/>
    <w:rsid w:val="013541E3"/>
    <w:rsid w:val="017D08AC"/>
    <w:rsid w:val="02415D8C"/>
    <w:rsid w:val="03562B12"/>
    <w:rsid w:val="03C76963"/>
    <w:rsid w:val="03FF5A61"/>
    <w:rsid w:val="04081B1E"/>
    <w:rsid w:val="042756B3"/>
    <w:rsid w:val="04863EA4"/>
    <w:rsid w:val="060D2627"/>
    <w:rsid w:val="070776CD"/>
    <w:rsid w:val="07F64F00"/>
    <w:rsid w:val="086F3BCB"/>
    <w:rsid w:val="098962EF"/>
    <w:rsid w:val="0A155C5A"/>
    <w:rsid w:val="0A341D31"/>
    <w:rsid w:val="0AAA3E1D"/>
    <w:rsid w:val="0B9A495D"/>
    <w:rsid w:val="0CFC68A6"/>
    <w:rsid w:val="0D703BC7"/>
    <w:rsid w:val="0E271409"/>
    <w:rsid w:val="0E413AE5"/>
    <w:rsid w:val="0E6F3EAD"/>
    <w:rsid w:val="0ECE70D6"/>
    <w:rsid w:val="100A796C"/>
    <w:rsid w:val="106B0A27"/>
    <w:rsid w:val="10740008"/>
    <w:rsid w:val="10747B27"/>
    <w:rsid w:val="10D95617"/>
    <w:rsid w:val="10FC27DD"/>
    <w:rsid w:val="110C5CA7"/>
    <w:rsid w:val="11B76268"/>
    <w:rsid w:val="12015736"/>
    <w:rsid w:val="12181154"/>
    <w:rsid w:val="12965706"/>
    <w:rsid w:val="12A762DD"/>
    <w:rsid w:val="12C571AF"/>
    <w:rsid w:val="12DF0227"/>
    <w:rsid w:val="13D27D6A"/>
    <w:rsid w:val="13F97129"/>
    <w:rsid w:val="14133B9C"/>
    <w:rsid w:val="14E54E1F"/>
    <w:rsid w:val="151B44ED"/>
    <w:rsid w:val="16AB01D2"/>
    <w:rsid w:val="17395DEA"/>
    <w:rsid w:val="17946E9F"/>
    <w:rsid w:val="183A7404"/>
    <w:rsid w:val="18BB1DB8"/>
    <w:rsid w:val="19305B7C"/>
    <w:rsid w:val="19A50122"/>
    <w:rsid w:val="19FD469D"/>
    <w:rsid w:val="1A414728"/>
    <w:rsid w:val="1B87310C"/>
    <w:rsid w:val="1B9E3951"/>
    <w:rsid w:val="1D271DC3"/>
    <w:rsid w:val="1D512106"/>
    <w:rsid w:val="1D51213E"/>
    <w:rsid w:val="1DAC0C4B"/>
    <w:rsid w:val="1DC42874"/>
    <w:rsid w:val="1E552471"/>
    <w:rsid w:val="1FE21636"/>
    <w:rsid w:val="20170100"/>
    <w:rsid w:val="20711B65"/>
    <w:rsid w:val="21420029"/>
    <w:rsid w:val="22142A17"/>
    <w:rsid w:val="227C728E"/>
    <w:rsid w:val="22D862A9"/>
    <w:rsid w:val="241A61E3"/>
    <w:rsid w:val="24442EA8"/>
    <w:rsid w:val="246131D8"/>
    <w:rsid w:val="248A7860"/>
    <w:rsid w:val="24983D1A"/>
    <w:rsid w:val="24B40627"/>
    <w:rsid w:val="24D12E73"/>
    <w:rsid w:val="25AB5145"/>
    <w:rsid w:val="25CA054A"/>
    <w:rsid w:val="266F7A8C"/>
    <w:rsid w:val="26902306"/>
    <w:rsid w:val="28557729"/>
    <w:rsid w:val="289F3502"/>
    <w:rsid w:val="28FF0033"/>
    <w:rsid w:val="294D0DB0"/>
    <w:rsid w:val="2A56367D"/>
    <w:rsid w:val="2A7E571E"/>
    <w:rsid w:val="2B5B61D6"/>
    <w:rsid w:val="2BBA017B"/>
    <w:rsid w:val="2C146A3F"/>
    <w:rsid w:val="2C1D1848"/>
    <w:rsid w:val="2C2E295F"/>
    <w:rsid w:val="2C484A78"/>
    <w:rsid w:val="2C5D4A7C"/>
    <w:rsid w:val="2C827087"/>
    <w:rsid w:val="2C946048"/>
    <w:rsid w:val="2D621C05"/>
    <w:rsid w:val="2E030FA3"/>
    <w:rsid w:val="2E725A34"/>
    <w:rsid w:val="2ECA5957"/>
    <w:rsid w:val="2EF747F4"/>
    <w:rsid w:val="2F054D33"/>
    <w:rsid w:val="2FE760A0"/>
    <w:rsid w:val="30643F13"/>
    <w:rsid w:val="31916349"/>
    <w:rsid w:val="31E02DCA"/>
    <w:rsid w:val="329C76FF"/>
    <w:rsid w:val="3415664D"/>
    <w:rsid w:val="345A48C2"/>
    <w:rsid w:val="35281352"/>
    <w:rsid w:val="3549298F"/>
    <w:rsid w:val="35AA7A48"/>
    <w:rsid w:val="35BE50B6"/>
    <w:rsid w:val="360C3C54"/>
    <w:rsid w:val="361121FD"/>
    <w:rsid w:val="367061A6"/>
    <w:rsid w:val="369B1BF5"/>
    <w:rsid w:val="36FA5694"/>
    <w:rsid w:val="3707646F"/>
    <w:rsid w:val="370D0818"/>
    <w:rsid w:val="372D208E"/>
    <w:rsid w:val="374B5B85"/>
    <w:rsid w:val="376D2E7E"/>
    <w:rsid w:val="37B02C8E"/>
    <w:rsid w:val="37C02BEF"/>
    <w:rsid w:val="37C63C21"/>
    <w:rsid w:val="38D6107E"/>
    <w:rsid w:val="3A4D3974"/>
    <w:rsid w:val="3A5E0C4C"/>
    <w:rsid w:val="3A9350DA"/>
    <w:rsid w:val="3A9B19D4"/>
    <w:rsid w:val="3AB436D1"/>
    <w:rsid w:val="3B0C3D2D"/>
    <w:rsid w:val="3B0F5F1E"/>
    <w:rsid w:val="3B51113B"/>
    <w:rsid w:val="3BF4386B"/>
    <w:rsid w:val="3C87272A"/>
    <w:rsid w:val="3CA46A13"/>
    <w:rsid w:val="3DAE61D9"/>
    <w:rsid w:val="3E3E29D5"/>
    <w:rsid w:val="3E8B6405"/>
    <w:rsid w:val="3EA348F1"/>
    <w:rsid w:val="3EFF1426"/>
    <w:rsid w:val="3F5D2B1F"/>
    <w:rsid w:val="3FA775EA"/>
    <w:rsid w:val="403222C3"/>
    <w:rsid w:val="408A6A4D"/>
    <w:rsid w:val="40BC26A4"/>
    <w:rsid w:val="418F63F8"/>
    <w:rsid w:val="41964027"/>
    <w:rsid w:val="419C3630"/>
    <w:rsid w:val="41E526EE"/>
    <w:rsid w:val="41F26553"/>
    <w:rsid w:val="429F0D52"/>
    <w:rsid w:val="42E45A8A"/>
    <w:rsid w:val="43C44EDE"/>
    <w:rsid w:val="4412132F"/>
    <w:rsid w:val="44226252"/>
    <w:rsid w:val="44625310"/>
    <w:rsid w:val="44BF09B5"/>
    <w:rsid w:val="44DF168B"/>
    <w:rsid w:val="45201E04"/>
    <w:rsid w:val="452867EB"/>
    <w:rsid w:val="457D2ABA"/>
    <w:rsid w:val="45905EAD"/>
    <w:rsid w:val="45A90A4E"/>
    <w:rsid w:val="45CD6874"/>
    <w:rsid w:val="46052E95"/>
    <w:rsid w:val="469F02EB"/>
    <w:rsid w:val="46B93119"/>
    <w:rsid w:val="46EF5A35"/>
    <w:rsid w:val="47F20FB3"/>
    <w:rsid w:val="48BC14B7"/>
    <w:rsid w:val="492E1833"/>
    <w:rsid w:val="49380A54"/>
    <w:rsid w:val="493E00C3"/>
    <w:rsid w:val="496E4757"/>
    <w:rsid w:val="4A1F4E00"/>
    <w:rsid w:val="4A2710F3"/>
    <w:rsid w:val="4A6639E3"/>
    <w:rsid w:val="4ABB60A8"/>
    <w:rsid w:val="4B11413D"/>
    <w:rsid w:val="4B1F21AD"/>
    <w:rsid w:val="4B3D180F"/>
    <w:rsid w:val="4BAE109A"/>
    <w:rsid w:val="4BBC7149"/>
    <w:rsid w:val="4BCA19FC"/>
    <w:rsid w:val="4BE81D78"/>
    <w:rsid w:val="4C8B1D2E"/>
    <w:rsid w:val="4CC823D1"/>
    <w:rsid w:val="4D230F27"/>
    <w:rsid w:val="4D6C1A03"/>
    <w:rsid w:val="4DA035EC"/>
    <w:rsid w:val="4DAE6343"/>
    <w:rsid w:val="4DBE1B73"/>
    <w:rsid w:val="4E410800"/>
    <w:rsid w:val="4E4C6927"/>
    <w:rsid w:val="4F8C6B9A"/>
    <w:rsid w:val="4FE31DD7"/>
    <w:rsid w:val="50816EF9"/>
    <w:rsid w:val="50967130"/>
    <w:rsid w:val="50BE63AB"/>
    <w:rsid w:val="515A5328"/>
    <w:rsid w:val="528715D0"/>
    <w:rsid w:val="52A20AFD"/>
    <w:rsid w:val="54771785"/>
    <w:rsid w:val="54C45AD3"/>
    <w:rsid w:val="552C35EA"/>
    <w:rsid w:val="55F96067"/>
    <w:rsid w:val="56982E14"/>
    <w:rsid w:val="571653DC"/>
    <w:rsid w:val="57330423"/>
    <w:rsid w:val="57511940"/>
    <w:rsid w:val="57DA4925"/>
    <w:rsid w:val="5A2E7DF6"/>
    <w:rsid w:val="5AF50AE5"/>
    <w:rsid w:val="5BF25964"/>
    <w:rsid w:val="5C2951CB"/>
    <w:rsid w:val="5C86208C"/>
    <w:rsid w:val="5D8579FD"/>
    <w:rsid w:val="5DB93EFC"/>
    <w:rsid w:val="5E2467D3"/>
    <w:rsid w:val="5E3B2051"/>
    <w:rsid w:val="5EE37364"/>
    <w:rsid w:val="5FD039A2"/>
    <w:rsid w:val="60D740A0"/>
    <w:rsid w:val="60E03A3F"/>
    <w:rsid w:val="61105489"/>
    <w:rsid w:val="612B536C"/>
    <w:rsid w:val="61C9419A"/>
    <w:rsid w:val="623E159C"/>
    <w:rsid w:val="642F4E26"/>
    <w:rsid w:val="646A6D32"/>
    <w:rsid w:val="64A25969"/>
    <w:rsid w:val="64C34F37"/>
    <w:rsid w:val="6567294F"/>
    <w:rsid w:val="661C4B3F"/>
    <w:rsid w:val="66487675"/>
    <w:rsid w:val="6683763C"/>
    <w:rsid w:val="668D6299"/>
    <w:rsid w:val="67766890"/>
    <w:rsid w:val="6852376A"/>
    <w:rsid w:val="68553DF8"/>
    <w:rsid w:val="68A13FCF"/>
    <w:rsid w:val="68ED7B6D"/>
    <w:rsid w:val="68F0212D"/>
    <w:rsid w:val="69094261"/>
    <w:rsid w:val="6994390F"/>
    <w:rsid w:val="6A8370BA"/>
    <w:rsid w:val="6AB91C86"/>
    <w:rsid w:val="6B193582"/>
    <w:rsid w:val="6BE54CDF"/>
    <w:rsid w:val="6C07239D"/>
    <w:rsid w:val="6CAC11BB"/>
    <w:rsid w:val="6D6A641D"/>
    <w:rsid w:val="6D6F23D4"/>
    <w:rsid w:val="6D8C327A"/>
    <w:rsid w:val="6DE529E8"/>
    <w:rsid w:val="6EFF1436"/>
    <w:rsid w:val="70087D6A"/>
    <w:rsid w:val="70F2692B"/>
    <w:rsid w:val="71B73C7E"/>
    <w:rsid w:val="71BC4F4E"/>
    <w:rsid w:val="72602640"/>
    <w:rsid w:val="72660971"/>
    <w:rsid w:val="72B96833"/>
    <w:rsid w:val="74542ED2"/>
    <w:rsid w:val="7538713A"/>
    <w:rsid w:val="761626F1"/>
    <w:rsid w:val="76384713"/>
    <w:rsid w:val="765650CF"/>
    <w:rsid w:val="76C03CD0"/>
    <w:rsid w:val="7740713D"/>
    <w:rsid w:val="7742330E"/>
    <w:rsid w:val="77F33200"/>
    <w:rsid w:val="781748C8"/>
    <w:rsid w:val="78A85C82"/>
    <w:rsid w:val="78B139DF"/>
    <w:rsid w:val="7907447D"/>
    <w:rsid w:val="79C97F88"/>
    <w:rsid w:val="79F309DD"/>
    <w:rsid w:val="7A6B766E"/>
    <w:rsid w:val="7A801042"/>
    <w:rsid w:val="7B7C0170"/>
    <w:rsid w:val="7B8857F3"/>
    <w:rsid w:val="7B987878"/>
    <w:rsid w:val="7BC02FAC"/>
    <w:rsid w:val="7C0E374D"/>
    <w:rsid w:val="7C1A3FF5"/>
    <w:rsid w:val="7C420B9B"/>
    <w:rsid w:val="7CFB5D27"/>
    <w:rsid w:val="7D233C9E"/>
    <w:rsid w:val="7DF1126A"/>
    <w:rsid w:val="7E2F305E"/>
    <w:rsid w:val="7FF471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Times New Roman" w:hAnsi="Times New Roman" w:eastAsia="宋体" w:cstheme="minorBidi"/>
      <w:kern w:val="2"/>
      <w:sz w:val="24"/>
      <w:szCs w:val="24"/>
      <w:lang w:val="en-US" w:eastAsia="zh-CN" w:bidi="ar-SA"/>
    </w:rPr>
  </w:style>
  <w:style w:type="paragraph" w:styleId="3">
    <w:name w:val="heading 1"/>
    <w:basedOn w:val="1"/>
    <w:next w:val="1"/>
    <w:link w:val="24"/>
    <w:autoRedefine/>
    <w:qFormat/>
    <w:uiPriority w:val="0"/>
    <w:pPr>
      <w:keepNext/>
      <w:keepLines/>
      <w:spacing w:before="340" w:after="330" w:line="576" w:lineRule="auto"/>
      <w:jc w:val="center"/>
      <w:outlineLvl w:val="0"/>
    </w:pPr>
    <w:rPr>
      <w:rFonts w:ascii="宋体" w:hAnsi="宋体"/>
      <w:b/>
      <w:kern w:val="44"/>
      <w:sz w:val="28"/>
    </w:rPr>
  </w:style>
  <w:style w:type="paragraph" w:styleId="4">
    <w:name w:val="heading 2"/>
    <w:basedOn w:val="1"/>
    <w:next w:val="1"/>
    <w:link w:val="23"/>
    <w:autoRedefine/>
    <w:unhideWhenUsed/>
    <w:qFormat/>
    <w:uiPriority w:val="0"/>
    <w:pPr>
      <w:keepNext/>
      <w:keepLines/>
      <w:spacing w:before="260" w:after="260" w:line="413" w:lineRule="auto"/>
      <w:jc w:val="center"/>
      <w:outlineLvl w:val="1"/>
    </w:pPr>
    <w:rPr>
      <w:rFonts w:ascii="宋体" w:hAnsi="宋体" w:eastAsia="黑体"/>
      <w:b/>
    </w:rPr>
  </w:style>
  <w:style w:type="paragraph" w:styleId="5">
    <w:name w:val="heading 3"/>
    <w:basedOn w:val="1"/>
    <w:next w:val="1"/>
    <w:link w:val="22"/>
    <w:autoRedefine/>
    <w:semiHidden/>
    <w:unhideWhenUsed/>
    <w:qFormat/>
    <w:uiPriority w:val="0"/>
    <w:pPr>
      <w:keepNext/>
      <w:keepLines/>
      <w:spacing w:before="260" w:after="260" w:line="413" w:lineRule="auto"/>
      <w:outlineLvl w:val="2"/>
    </w:pPr>
    <w:rPr>
      <w:rFonts w:ascii="宋体" w:hAnsi="宋体"/>
      <w:b/>
    </w:rPr>
  </w:style>
  <w:style w:type="paragraph" w:styleId="6">
    <w:name w:val="heading 4"/>
    <w:basedOn w:val="1"/>
    <w:next w:val="1"/>
    <w:link w:val="21"/>
    <w:autoRedefine/>
    <w:semiHidden/>
    <w:unhideWhenUsed/>
    <w:qFormat/>
    <w:uiPriority w:val="0"/>
    <w:pPr>
      <w:keepNext/>
      <w:keepLines/>
      <w:spacing w:before="280" w:after="290" w:line="372" w:lineRule="auto"/>
      <w:outlineLvl w:val="3"/>
    </w:pPr>
    <w:rPr>
      <w:rFonts w:ascii="Arial" w:hAnsi="Arial"/>
      <w:b/>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33"/>
    <w:autoRedefine/>
    <w:qFormat/>
    <w:uiPriority w:val="0"/>
    <w:pPr>
      <w:spacing w:after="120" w:line="312" w:lineRule="auto"/>
    </w:pPr>
  </w:style>
  <w:style w:type="paragraph" w:styleId="7">
    <w:name w:val="caption"/>
    <w:basedOn w:val="1"/>
    <w:next w:val="1"/>
    <w:autoRedefine/>
    <w:unhideWhenUsed/>
    <w:qFormat/>
    <w:uiPriority w:val="0"/>
    <w:rPr>
      <w:rFonts w:ascii="Arial" w:hAnsi="Arial" w:eastAsia="黑体"/>
      <w:sz w:val="20"/>
    </w:rPr>
  </w:style>
  <w:style w:type="paragraph" w:styleId="8">
    <w:name w:val="annotation text"/>
    <w:basedOn w:val="1"/>
    <w:link w:val="26"/>
    <w:autoRedefine/>
    <w:qFormat/>
    <w:uiPriority w:val="0"/>
  </w:style>
  <w:style w:type="paragraph" w:styleId="9">
    <w:name w:val="Balloon Text"/>
    <w:basedOn w:val="1"/>
    <w:link w:val="25"/>
    <w:autoRedefine/>
    <w:qFormat/>
    <w:uiPriority w:val="0"/>
    <w:rPr>
      <w:sz w:val="18"/>
      <w:szCs w:val="18"/>
    </w:rPr>
  </w:style>
  <w:style w:type="paragraph" w:styleId="10">
    <w:name w:val="footer"/>
    <w:basedOn w:val="1"/>
    <w:link w:val="28"/>
    <w:autoRedefine/>
    <w:qFormat/>
    <w:uiPriority w:val="99"/>
    <w:pPr>
      <w:tabs>
        <w:tab w:val="center" w:pos="4153"/>
        <w:tab w:val="right" w:pos="8306"/>
      </w:tabs>
      <w:snapToGrid w:val="0"/>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toc 1"/>
    <w:basedOn w:val="1"/>
    <w:next w:val="1"/>
    <w:autoRedefine/>
    <w:qFormat/>
    <w:uiPriority w:val="39"/>
  </w:style>
  <w:style w:type="paragraph" w:styleId="13">
    <w:name w:val="toc 2"/>
    <w:basedOn w:val="1"/>
    <w:next w:val="1"/>
    <w:autoRedefine/>
    <w:qFormat/>
    <w:uiPriority w:val="39"/>
    <w:pPr>
      <w:ind w:left="420" w:leftChars="200"/>
    </w:pPr>
  </w:style>
  <w:style w:type="paragraph" w:styleId="14">
    <w:name w:val="Normal (Web)"/>
    <w:basedOn w:val="1"/>
    <w:autoRedefine/>
    <w:qFormat/>
    <w:uiPriority w:val="0"/>
    <w:pPr>
      <w:spacing w:beforeAutospacing="1" w:afterAutospacing="1"/>
    </w:pPr>
    <w:rPr>
      <w:rFonts w:cs="Times New Roman"/>
      <w:kern w:val="0"/>
    </w:rPr>
  </w:style>
  <w:style w:type="paragraph" w:styleId="15">
    <w:name w:val="annotation subject"/>
    <w:basedOn w:val="8"/>
    <w:next w:val="8"/>
    <w:link w:val="27"/>
    <w:autoRedefine/>
    <w:qFormat/>
    <w:uiPriority w:val="0"/>
    <w:rPr>
      <w:b/>
      <w:bCs/>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autoRedefine/>
    <w:qFormat/>
    <w:uiPriority w:val="99"/>
    <w:rPr>
      <w:color w:val="0000FF"/>
      <w:u w:val="single"/>
    </w:rPr>
  </w:style>
  <w:style w:type="character" w:styleId="20">
    <w:name w:val="annotation reference"/>
    <w:basedOn w:val="18"/>
    <w:autoRedefine/>
    <w:qFormat/>
    <w:uiPriority w:val="0"/>
    <w:rPr>
      <w:sz w:val="21"/>
      <w:szCs w:val="21"/>
    </w:rPr>
  </w:style>
  <w:style w:type="character" w:customStyle="1" w:styleId="21">
    <w:name w:val="标题 4 Char"/>
    <w:link w:val="6"/>
    <w:autoRedefine/>
    <w:qFormat/>
    <w:uiPriority w:val="0"/>
    <w:rPr>
      <w:rFonts w:ascii="Arial" w:hAnsi="Arial" w:eastAsia="宋体"/>
      <w:b/>
      <w:sz w:val="24"/>
    </w:rPr>
  </w:style>
  <w:style w:type="character" w:customStyle="1" w:styleId="22">
    <w:name w:val="标题 3 Char"/>
    <w:link w:val="5"/>
    <w:autoRedefine/>
    <w:qFormat/>
    <w:uiPriority w:val="0"/>
    <w:rPr>
      <w:rFonts w:ascii="宋体" w:hAnsi="宋体" w:eastAsia="宋体"/>
      <w:b/>
      <w:sz w:val="24"/>
    </w:rPr>
  </w:style>
  <w:style w:type="character" w:customStyle="1" w:styleId="23">
    <w:name w:val="标题 2 Char"/>
    <w:link w:val="4"/>
    <w:autoRedefine/>
    <w:qFormat/>
    <w:uiPriority w:val="0"/>
    <w:rPr>
      <w:rFonts w:ascii="宋体" w:hAnsi="宋体" w:eastAsia="黑体"/>
      <w:b/>
      <w:sz w:val="24"/>
    </w:rPr>
  </w:style>
  <w:style w:type="character" w:customStyle="1" w:styleId="24">
    <w:name w:val="标题 1 Char"/>
    <w:link w:val="3"/>
    <w:autoRedefine/>
    <w:qFormat/>
    <w:uiPriority w:val="0"/>
    <w:rPr>
      <w:rFonts w:ascii="宋体" w:hAnsi="宋体" w:eastAsia="宋体"/>
      <w:b/>
      <w:kern w:val="44"/>
      <w:sz w:val="28"/>
    </w:rPr>
  </w:style>
  <w:style w:type="character" w:customStyle="1" w:styleId="25">
    <w:name w:val="批注框文本 Char"/>
    <w:basedOn w:val="18"/>
    <w:link w:val="9"/>
    <w:autoRedefine/>
    <w:qFormat/>
    <w:uiPriority w:val="0"/>
    <w:rPr>
      <w:rFonts w:cstheme="minorBidi"/>
      <w:kern w:val="2"/>
      <w:sz w:val="18"/>
      <w:szCs w:val="18"/>
    </w:rPr>
  </w:style>
  <w:style w:type="character" w:customStyle="1" w:styleId="26">
    <w:name w:val="批注文字 Char"/>
    <w:basedOn w:val="18"/>
    <w:link w:val="8"/>
    <w:autoRedefine/>
    <w:qFormat/>
    <w:uiPriority w:val="0"/>
    <w:rPr>
      <w:rFonts w:cstheme="minorBidi"/>
      <w:kern w:val="2"/>
      <w:sz w:val="24"/>
      <w:szCs w:val="24"/>
    </w:rPr>
  </w:style>
  <w:style w:type="character" w:customStyle="1" w:styleId="27">
    <w:name w:val="批注主题 Char"/>
    <w:basedOn w:val="26"/>
    <w:link w:val="15"/>
    <w:autoRedefine/>
    <w:qFormat/>
    <w:uiPriority w:val="0"/>
    <w:rPr>
      <w:rFonts w:cstheme="minorBidi"/>
      <w:b/>
      <w:bCs/>
      <w:kern w:val="2"/>
      <w:sz w:val="24"/>
      <w:szCs w:val="24"/>
    </w:rPr>
  </w:style>
  <w:style w:type="character" w:customStyle="1" w:styleId="28">
    <w:name w:val="页脚 Char"/>
    <w:basedOn w:val="18"/>
    <w:link w:val="10"/>
    <w:autoRedefine/>
    <w:qFormat/>
    <w:uiPriority w:val="99"/>
    <w:rPr>
      <w:rFonts w:cstheme="minorBidi"/>
      <w:kern w:val="2"/>
      <w:sz w:val="18"/>
      <w:szCs w:val="24"/>
    </w:rPr>
  </w:style>
  <w:style w:type="paragraph" w:customStyle="1" w:styleId="29">
    <w:name w:val="标准标志"/>
    <w:next w:val="1"/>
    <w:autoRedefine/>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styleId="30">
    <w:name w:val="List Paragraph"/>
    <w:basedOn w:val="1"/>
    <w:link w:val="34"/>
    <w:autoRedefine/>
    <w:unhideWhenUsed/>
    <w:qFormat/>
    <w:uiPriority w:val="99"/>
    <w:pPr>
      <w:ind w:firstLine="420" w:firstLineChars="200"/>
    </w:pPr>
  </w:style>
  <w:style w:type="paragraph" w:customStyle="1" w:styleId="31">
    <w:name w:val="修订1"/>
    <w:autoRedefine/>
    <w:hidden/>
    <w:unhideWhenUsed/>
    <w:qFormat/>
    <w:uiPriority w:val="99"/>
    <w:rPr>
      <w:rFonts w:ascii="Times New Roman" w:hAnsi="Times New Roman" w:eastAsia="宋体" w:cstheme="minorBidi"/>
      <w:kern w:val="2"/>
      <w:sz w:val="24"/>
      <w:szCs w:val="24"/>
      <w:lang w:val="en-US" w:eastAsia="zh-CN" w:bidi="ar-SA"/>
    </w:rPr>
  </w:style>
  <w:style w:type="paragraph" w:customStyle="1" w:styleId="32">
    <w:name w:val="条文说明"/>
    <w:basedOn w:val="1"/>
    <w:autoRedefine/>
    <w:qFormat/>
    <w:uiPriority w:val="0"/>
    <w:pPr>
      <w:spacing w:line="312" w:lineRule="auto"/>
      <w:ind w:firstLine="420" w:firstLineChars="200"/>
    </w:pPr>
    <w:rPr>
      <w:rFonts w:hint="eastAsia" w:eastAsia="楷体"/>
      <w:sz w:val="21"/>
      <w:szCs w:val="21"/>
    </w:rPr>
  </w:style>
  <w:style w:type="character" w:customStyle="1" w:styleId="33">
    <w:name w:val="正文文本 Char"/>
    <w:basedOn w:val="18"/>
    <w:link w:val="2"/>
    <w:autoRedefine/>
    <w:qFormat/>
    <w:uiPriority w:val="0"/>
    <w:rPr>
      <w:rFonts w:cstheme="minorBidi"/>
      <w:kern w:val="2"/>
      <w:sz w:val="24"/>
      <w:szCs w:val="24"/>
    </w:rPr>
  </w:style>
  <w:style w:type="character" w:customStyle="1" w:styleId="34">
    <w:name w:val="列出段落 Char"/>
    <w:link w:val="30"/>
    <w:autoRedefine/>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50E34F-51EA-4C44-AC65-525B0664B2E0}">
  <ds:schemaRefs/>
</ds:datastoreItem>
</file>

<file path=docProps/app.xml><?xml version="1.0" encoding="utf-8"?>
<Properties xmlns="http://schemas.openxmlformats.org/officeDocument/2006/extended-properties" xmlns:vt="http://schemas.openxmlformats.org/officeDocument/2006/docPropsVTypes">
  <Template>Normal</Template>
  <Pages>62</Pages>
  <Words>5495</Words>
  <Characters>31323</Characters>
  <Lines>261</Lines>
  <Paragraphs>73</Paragraphs>
  <TotalTime>0</TotalTime>
  <ScaleCrop>false</ScaleCrop>
  <LinksUpToDate>false</LinksUpToDate>
  <CharactersWithSpaces>36745</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2024-03-17T16:49:00Z</dcterms:created>
  <dc:creator>admin</dc:creator>
  <cp:lastModifiedBy>wp</cp:lastModifiedBy>
  <cp:lastPrinted>2023-12-13T16:50:00Z</cp:lastPrinted>
  <dcterms:modified xsi:type="dcterms:W3CDTF">2024-03-18T03:37:06Z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9CE663F3DA2C4C16B89B1CE4AC6955D9_13</vt:lpwstr>
  </property>
</Properties>
</file>