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hAnsiTheme="minorEastAsia"/>
          <w:sz w:val="24"/>
          <w:szCs w:val="24"/>
        </w:rPr>
      </w:pPr>
    </w:p>
    <w:p>
      <w:pPr>
        <w:spacing w:line="600" w:lineRule="exact"/>
        <w:jc w:val="center"/>
        <w:rPr>
          <w:rFonts w:ascii="仿宋_GB2312" w:eastAsia="仿宋_GB2312" w:hAnsiTheme="minorEastAsia"/>
          <w:sz w:val="24"/>
          <w:szCs w:val="24"/>
        </w:rPr>
      </w:pPr>
    </w:p>
    <w:p>
      <w:pPr>
        <w:spacing w:line="600" w:lineRule="exact"/>
        <w:jc w:val="center"/>
        <w:rPr>
          <w:rFonts w:ascii="仿宋_GB2312" w:eastAsia="仿宋_GB2312" w:hAnsiTheme="minorEastAsia"/>
          <w:sz w:val="24"/>
          <w:szCs w:val="24"/>
        </w:rPr>
      </w:pPr>
    </w:p>
    <w:p>
      <w:pPr>
        <w:keepNext w:val="0"/>
        <w:keepLines w:val="0"/>
        <w:pageBreakBefore w:val="0"/>
        <w:tabs>
          <w:tab w:val="left" w:pos="709"/>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0"/>
          <w:szCs w:val="30"/>
        </w:rPr>
        <w:t>建会标〔2023〕</w:t>
      </w:r>
      <w:r>
        <w:rPr>
          <w:rFonts w:hint="eastAsia" w:ascii="仿宋" w:hAnsi="仿宋" w:eastAsia="仿宋" w:cs="仿宋"/>
          <w:sz w:val="30"/>
          <w:szCs w:val="30"/>
          <w:lang w:val="en-US" w:eastAsia="zh-CN"/>
        </w:rPr>
        <w:t>17</w:t>
      </w:r>
      <w:r>
        <w:rPr>
          <w:rFonts w:hint="eastAsia" w:ascii="仿宋" w:hAnsi="仿宋" w:eastAsia="仿宋" w:cs="仿宋"/>
          <w:sz w:val="30"/>
          <w:szCs w:val="30"/>
        </w:rPr>
        <w:t>号</w:t>
      </w:r>
    </w:p>
    <w:p>
      <w:pPr>
        <w:keepNext w:val="0"/>
        <w:keepLines w:val="0"/>
        <w:pageBreakBefore w:val="0"/>
        <w:tabs>
          <w:tab w:val="left" w:pos="709"/>
        </w:tabs>
        <w:kinsoku/>
        <w:wordWrap/>
        <w:overflowPunct/>
        <w:topLinePunct w:val="0"/>
        <w:autoSpaceDE/>
        <w:autoSpaceDN/>
        <w:bidi w:val="0"/>
        <w:adjustRightInd w:val="0"/>
        <w:snapToGrid w:val="0"/>
        <w:spacing w:line="56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关于发布《2023年中国建筑学会标准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bCs/>
          <w:sz w:val="44"/>
          <w:szCs w:val="44"/>
        </w:rPr>
      </w:pPr>
      <w:r>
        <w:rPr>
          <w:rFonts w:hint="eastAsia" w:ascii="华文中宋" w:hAnsi="华文中宋" w:eastAsia="华文中宋" w:cs="华文中宋"/>
          <w:b/>
          <w:bCs/>
          <w:sz w:val="36"/>
          <w:szCs w:val="36"/>
        </w:rPr>
        <w:t>编制计划（第二批）》的通知</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jc w:val="center"/>
        <w:textAlignment w:val="auto"/>
        <w:rPr>
          <w:b/>
          <w:bCs/>
          <w:sz w:val="2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b/>
          <w:bCs/>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各有关标准主编单位：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根据《中国建筑学会标准管理办法（试行）》的要求，经标委会审查，我会同意《城市桥梁景观绿化设计标准》等12项学会标准正式立项编制，现将学会组织制定的《2023年中国建筑学会标准编制计划（第二批）》印发给你们，请按计划抓紧落实，认真开展标准编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附件：2023年中国建筑学会标准编制计划（第</w:t>
      </w:r>
      <w:r>
        <w:rPr>
          <w:rFonts w:hint="eastAsia" w:ascii="仿宋" w:hAnsi="仿宋" w:eastAsia="仿宋" w:cs="仿宋"/>
          <w:bCs/>
          <w:color w:val="000000"/>
          <w:sz w:val="32"/>
          <w:szCs w:val="32"/>
          <w:lang w:val="en-US" w:eastAsia="zh-CN"/>
        </w:rPr>
        <w:t>二</w:t>
      </w:r>
      <w:r>
        <w:rPr>
          <w:rFonts w:hint="eastAsia" w:ascii="仿宋" w:hAnsi="仿宋" w:eastAsia="仿宋" w:cs="仿宋"/>
          <w:bCs/>
          <w:color w:val="000000"/>
          <w:sz w:val="32"/>
          <w:szCs w:val="32"/>
        </w:rPr>
        <w:t>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中国建筑学会</w:t>
      </w: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eastAsia="仿宋_GB2312"/>
          <w:sz w:val="32"/>
          <w:szCs w:val="32"/>
        </w:rPr>
      </w:pPr>
      <w:r>
        <w:rPr>
          <w:rFonts w:hint="eastAsia" w:ascii="仿宋" w:hAnsi="仿宋" w:eastAsia="仿宋" w:cs="仿宋"/>
          <w:bCs/>
          <w:color w:val="000000"/>
          <w:sz w:val="32"/>
          <w:szCs w:val="32"/>
        </w:rPr>
        <w:t>2023年</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26</w:t>
      </w:r>
      <w:r>
        <w:rPr>
          <w:rFonts w:hint="eastAsia" w:ascii="仿宋" w:hAnsi="仿宋" w:eastAsia="仿宋" w:cs="仿宋"/>
          <w:bCs/>
          <w:color w:val="000000"/>
          <w:sz w:val="32"/>
          <w:szCs w:val="32"/>
        </w:rPr>
        <w:t>日</w:t>
      </w:r>
      <w:r>
        <w:rPr>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3360" w:firstLineChars="1600"/>
        <w:textAlignment w:val="auto"/>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ind w:firstLine="187" w:firstLineChars="67"/>
        <w:textAlignment w:val="auto"/>
        <w:rPr>
          <w:rFonts w:hint="eastAsia" w:ascii="仿宋_GB2312" w:eastAsia="仿宋_GB2312"/>
          <w:sz w:val="28"/>
          <w:szCs w:val="28"/>
        </w:rPr>
      </w:pPr>
      <w:r>
        <w:rPr>
          <w:rFonts w:hint="eastAsia" w:ascii="仿宋_GB2312" w:eastAsia="仿宋_GB2312"/>
          <w:sz w:val="28"/>
          <w:szCs w:val="28"/>
        </w:rPr>
        <w:t>附件：</w:t>
      </w:r>
    </w:p>
    <w:p>
      <w:pPr>
        <w:jc w:val="center"/>
        <w:rPr>
          <w:rFonts w:ascii="仿宋_GB2312" w:eastAsia="仿宋_GB2312"/>
          <w:b/>
          <w:snapToGrid w:val="0"/>
          <w:kern w:val="0"/>
          <w:sz w:val="36"/>
          <w:szCs w:val="36"/>
        </w:rPr>
      </w:pPr>
      <w:r>
        <w:rPr>
          <w:rFonts w:hint="eastAsia" w:ascii="仿宋_GB2312" w:eastAsia="仿宋_GB2312"/>
          <w:b/>
          <w:snapToGrid w:val="0"/>
          <w:kern w:val="0"/>
          <w:sz w:val="36"/>
          <w:szCs w:val="36"/>
        </w:rPr>
        <w:t>2023年中国建筑学会标准编制计划（第二批）</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48"/>
        <w:gridCol w:w="709"/>
        <w:gridCol w:w="850"/>
        <w:gridCol w:w="6804"/>
        <w:gridCol w:w="2473"/>
        <w:gridCol w:w="1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54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项目名称</w:t>
            </w:r>
          </w:p>
        </w:tc>
        <w:tc>
          <w:tcPr>
            <w:tcW w:w="709"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类别</w:t>
            </w:r>
          </w:p>
        </w:tc>
        <w:tc>
          <w:tcPr>
            <w:tcW w:w="85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制订/修订</w:t>
            </w:r>
          </w:p>
        </w:tc>
        <w:tc>
          <w:tcPr>
            <w:tcW w:w="6804"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适用范围和主要内容</w:t>
            </w:r>
          </w:p>
        </w:tc>
        <w:tc>
          <w:tcPr>
            <w:tcW w:w="2473"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主编单位</w:t>
            </w:r>
          </w:p>
        </w:tc>
        <w:tc>
          <w:tcPr>
            <w:tcW w:w="1127"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完成年限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城市桥梁景观绿化设计标准</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适用于我国城市桥梁的景观绿化设计。</w:t>
            </w:r>
          </w:p>
          <w:p>
            <w:r>
              <w:rPr>
                <w:rFonts w:hint="eastAsia"/>
              </w:rPr>
              <w:t>主要内容：</w:t>
            </w:r>
          </w:p>
          <w:p>
            <w:r>
              <w:rPr>
                <w:rFonts w:hint="eastAsia"/>
              </w:rPr>
              <w:t>1 总则；2 术语和符号；3 基本规定；4 桥梁绿化结构设计；5 景观设计；6 配套设施。</w:t>
            </w:r>
          </w:p>
        </w:tc>
        <w:tc>
          <w:tcPr>
            <w:tcW w:w="2473" w:type="dxa"/>
            <w:vAlign w:val="center"/>
          </w:tcPr>
          <w:p>
            <w:r>
              <w:rPr>
                <w:rFonts w:hint="eastAsia"/>
              </w:rPr>
              <w:t>中国建筑设计研究院有限公司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城市轨道交通工程全寿命期安全性能评价技术规程</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适用于指导城市轨道交通工程隧道、桥梁、轨道和路基等设施结构全寿命期安全性能评价。</w:t>
            </w:r>
          </w:p>
          <w:p>
            <w:r>
              <w:rPr>
                <w:rFonts w:hint="eastAsia"/>
              </w:rPr>
              <w:t>主要内容：</w:t>
            </w:r>
          </w:p>
          <w:p>
            <w:r>
              <w:rPr>
                <w:rFonts w:hint="eastAsia"/>
              </w:rPr>
              <w:t>1 总则；2 术语和缩略语；3 基本规定；4 城市轨道交通工程安全性能评价框架；5 隧道全寿命期安全性能评价；6 桥梁全寿命期安全性能评价；7 轨道和路基全寿命期安全性能评价；8 城市轨道交通工程安全性能管理平台。</w:t>
            </w:r>
          </w:p>
        </w:tc>
        <w:tc>
          <w:tcPr>
            <w:tcW w:w="2473" w:type="dxa"/>
            <w:vAlign w:val="center"/>
          </w:tcPr>
          <w:p>
            <w:r>
              <w:rPr>
                <w:rFonts w:hint="eastAsia"/>
              </w:rPr>
              <w:t>清华大学建筑设计研究院有限公司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建筑工程总承包企业能力建设评价标准</w:t>
            </w:r>
          </w:p>
        </w:tc>
        <w:tc>
          <w:tcPr>
            <w:tcW w:w="709" w:type="dxa"/>
            <w:vAlign w:val="center"/>
          </w:tcPr>
          <w:p>
            <w:pPr>
              <w:rPr>
                <w:rFonts w:ascii="宋体" w:hAnsi="宋体" w:cs="Tahoma"/>
                <w:szCs w:val="21"/>
              </w:rPr>
            </w:pPr>
            <w:r>
              <w:rPr>
                <w:rFonts w:hint="eastAsia" w:ascii="宋体" w:hAnsi="宋体" w:cs="Tahoma"/>
                <w:szCs w:val="21"/>
              </w:rPr>
              <w:t>工程</w:t>
            </w:r>
            <w:r>
              <w:rPr>
                <w:rFonts w:ascii="宋体" w:hAnsi="宋体" w:cs="Tahoma"/>
                <w:szCs w:val="21"/>
              </w:rPr>
              <w:t>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适用于建筑工程总承包企业能力建设情况综合评价，有助于指导工程总承包企业的健康发展，可为建设主管部门、建设单位、总承包单位及建筑产业链上的其他企业提供依据和借鉴</w:t>
            </w:r>
            <w:r>
              <w:t>。</w:t>
            </w:r>
          </w:p>
          <w:p>
            <w:r>
              <w:rPr>
                <w:rFonts w:hint="eastAsia"/>
              </w:rPr>
              <w:t>主要内容：</w:t>
            </w:r>
          </w:p>
          <w:p>
            <w:r>
              <w:rPr>
                <w:rFonts w:hint="eastAsia"/>
              </w:rPr>
              <w:t>1 总则；2 术语和定义；3 基本规定；4 设计管理能力；5 资金运作能力；6商务管理能力；7 计划管理能力；8采购管理能力；9 技术创新能力； 10   专业管理能力；11 项目管理能力；12 资源整合能力；13 信息化应用能力。</w:t>
            </w:r>
          </w:p>
        </w:tc>
        <w:tc>
          <w:tcPr>
            <w:tcW w:w="2473" w:type="dxa"/>
            <w:vAlign w:val="center"/>
          </w:tcPr>
          <w:p>
            <w:r>
              <w:rPr>
                <w:rFonts w:hint="eastAsia"/>
              </w:rPr>
              <w:t>中建科技集团有限公司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建设工程质量原因力鉴定技术标准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w:t>
            </w:r>
            <w:r>
              <w:rPr>
                <w:rFonts w:hint="eastAsia"/>
                <w:szCs w:val="21"/>
              </w:rPr>
              <w:t>建设工程质量原因力鉴定技术标准。</w:t>
            </w:r>
          </w:p>
          <w:p>
            <w:r>
              <w:rPr>
                <w:rFonts w:hint="eastAsia"/>
              </w:rPr>
              <w:t>主要内容：</w:t>
            </w:r>
          </w:p>
          <w:p>
            <w:r>
              <w:t>1</w:t>
            </w:r>
            <w:r>
              <w:rPr>
                <w:rFonts w:hint="eastAsia"/>
              </w:rPr>
              <w:t xml:space="preserve"> </w:t>
            </w:r>
            <w:r>
              <w:t>总则；2</w:t>
            </w:r>
            <w:r>
              <w:rPr>
                <w:rFonts w:hint="eastAsia"/>
              </w:rPr>
              <w:t xml:space="preserve"> </w:t>
            </w:r>
            <w:r>
              <w:t>术语；3</w:t>
            </w:r>
            <w:r>
              <w:rPr>
                <w:rFonts w:hint="eastAsia"/>
              </w:rPr>
              <w:t xml:space="preserve"> 基本规定</w:t>
            </w:r>
            <w:r>
              <w:t>；</w:t>
            </w:r>
            <w:r>
              <w:rPr>
                <w:rFonts w:hint="eastAsia"/>
              </w:rPr>
              <w:t>4 原因力鉴定评价准则；5 原因力鉴定评价流程（包括原因力分类、评价程序、评价方法、评价等级划分、评价结果等）</w:t>
            </w:r>
            <w:r>
              <w:t>；</w:t>
            </w:r>
            <w:r>
              <w:rPr>
                <w:rFonts w:hint="eastAsia"/>
              </w:rPr>
              <w:t>6 附录</w:t>
            </w:r>
            <w:r>
              <w:t>。</w:t>
            </w:r>
          </w:p>
        </w:tc>
        <w:tc>
          <w:tcPr>
            <w:tcW w:w="2473" w:type="dxa"/>
            <w:vAlign w:val="center"/>
          </w:tcPr>
          <w:p>
            <w:r>
              <w:rPr>
                <w:rFonts w:hint="eastAsia"/>
              </w:rPr>
              <w:t>中电投工程研究检测评定中心有限公司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现当代建筑价值评估与管理标准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适用于全国现当代建筑的价值评估与管理。</w:t>
            </w:r>
          </w:p>
          <w:p>
            <w:r>
              <w:rPr>
                <w:rFonts w:hint="eastAsia"/>
              </w:rPr>
              <w:t>主要内容：</w:t>
            </w:r>
          </w:p>
          <w:p>
            <w:r>
              <w:rPr>
                <w:rFonts w:hint="eastAsia"/>
              </w:rPr>
              <w:t>1 总则；2 术语；3 基本规定；4 现当代建筑的价值构成与评估；5 现当代建筑的价值管理。</w:t>
            </w:r>
          </w:p>
        </w:tc>
        <w:tc>
          <w:tcPr>
            <w:tcW w:w="2473" w:type="dxa"/>
            <w:vAlign w:val="center"/>
          </w:tcPr>
          <w:p>
            <w:pPr>
              <w:rPr>
                <w:rFonts w:asciiTheme="minorHAnsi" w:hAnsiTheme="minorHAnsi" w:eastAsiaTheme="minorEastAsia" w:cstheme="minorBidi"/>
                <w:szCs w:val="22"/>
              </w:rPr>
            </w:pPr>
            <w:r>
              <w:rPr>
                <w:rFonts w:hint="eastAsia"/>
              </w:rPr>
              <w:t>上海市建筑学会；中国文物学会20世纪遗产委员会</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红外热像法检测古代建筑壁画内部病害技术标准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适用于古代建筑壁画内部病害检测，以及壁画修复质量确认性检测。</w:t>
            </w:r>
          </w:p>
          <w:p>
            <w:r>
              <w:rPr>
                <w:rFonts w:hint="eastAsia"/>
              </w:rPr>
              <w:t>主要内容：</w:t>
            </w:r>
          </w:p>
          <w:p>
            <w:r>
              <w:rPr>
                <w:rFonts w:hint="eastAsia"/>
              </w:rPr>
              <w:t>1 总则；2 术语；3 技术条件；4 热激励装置；5 检测与红外热像处理技术；6 病害范围评估报告。</w:t>
            </w:r>
          </w:p>
        </w:tc>
        <w:tc>
          <w:tcPr>
            <w:tcW w:w="2473" w:type="dxa"/>
            <w:vAlign w:val="center"/>
          </w:tcPr>
          <w:p>
            <w:pPr>
              <w:rPr>
                <w:rFonts w:asciiTheme="minorHAnsi" w:hAnsiTheme="minorHAnsi" w:eastAsiaTheme="minorEastAsia" w:cstheme="minorBidi"/>
                <w:szCs w:val="22"/>
              </w:rPr>
            </w:pPr>
            <w:r>
              <w:rPr>
                <w:rFonts w:hint="eastAsia"/>
              </w:rPr>
              <w:t>中国建筑技术集团有限公司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好住宅技术标准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适用于全国城镇新建、改建和扩建住宅建筑的建设和运行维护。</w:t>
            </w:r>
          </w:p>
          <w:p>
            <w:r>
              <w:rPr>
                <w:rFonts w:hint="eastAsia"/>
              </w:rPr>
              <w:t>主要内容：</w:t>
            </w:r>
          </w:p>
          <w:p>
            <w:r>
              <w:rPr>
                <w:rFonts w:hint="eastAsia"/>
              </w:rPr>
              <w:t>1 总则；2 术语；3 适用；4 人文；5 健康；6 安全；7 节约；8 运维。</w:t>
            </w:r>
          </w:p>
        </w:tc>
        <w:tc>
          <w:tcPr>
            <w:tcW w:w="2473" w:type="dxa"/>
            <w:vAlign w:val="center"/>
          </w:tcPr>
          <w:p>
            <w:pPr>
              <w:rPr>
                <w:rFonts w:asciiTheme="minorHAnsi" w:hAnsiTheme="minorHAnsi" w:eastAsiaTheme="minorEastAsia" w:cstheme="minorBidi"/>
                <w:szCs w:val="22"/>
              </w:rPr>
            </w:pPr>
            <w:r>
              <w:rPr>
                <w:rFonts w:hint="eastAsia"/>
              </w:rPr>
              <w:t>中国建筑科学研究院有限公司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pPr>
              <w:jc w:val="left"/>
              <w:rPr>
                <w:rFonts w:asciiTheme="minorHAnsi" w:hAnsiTheme="minorHAnsi" w:eastAsiaTheme="minorEastAsia" w:cstheme="minorBidi"/>
                <w:szCs w:val="22"/>
              </w:rPr>
            </w:pPr>
            <w:r>
              <w:rPr>
                <w:rFonts w:hint="eastAsia"/>
              </w:rPr>
              <w:t>低碳园区规划设计标准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适用于低碳园区的规划、设计、运营和评价。</w:t>
            </w:r>
          </w:p>
          <w:p>
            <w:r>
              <w:rPr>
                <w:rFonts w:hint="eastAsia"/>
              </w:rPr>
              <w:t>主要内容：</w:t>
            </w:r>
          </w:p>
          <w:p>
            <w:pPr>
              <w:rPr>
                <w:rFonts w:asciiTheme="minorHAnsi" w:hAnsiTheme="minorHAnsi" w:eastAsiaTheme="minorEastAsia" w:cstheme="minorBidi"/>
                <w:szCs w:val="22"/>
              </w:rPr>
            </w:pPr>
            <w:r>
              <w:rPr>
                <w:rFonts w:hint="eastAsia"/>
              </w:rPr>
              <w:t>1 总则；2 术语；3 基本规定；4 规划布局；5 交通体系；6 能源系统；7 低碳建筑；8 低碳材料；9 智慧运维。</w:t>
            </w:r>
          </w:p>
        </w:tc>
        <w:tc>
          <w:tcPr>
            <w:tcW w:w="2473" w:type="dxa"/>
            <w:vAlign w:val="center"/>
          </w:tcPr>
          <w:p>
            <w:pPr>
              <w:rPr>
                <w:rFonts w:asciiTheme="minorHAnsi" w:hAnsiTheme="minorHAnsi" w:eastAsiaTheme="minorEastAsia" w:cstheme="minorBidi"/>
                <w:szCs w:val="22"/>
              </w:rPr>
            </w:pPr>
            <w:r>
              <w:rPr>
                <w:rFonts w:hint="eastAsia"/>
              </w:rPr>
              <w:t>中国建筑科学研究院有限公司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pPr>
              <w:jc w:val="left"/>
              <w:rPr>
                <w:rFonts w:asciiTheme="minorHAnsi" w:hAnsiTheme="minorHAnsi" w:eastAsiaTheme="minorEastAsia" w:cstheme="minorBidi"/>
                <w:szCs w:val="22"/>
              </w:rPr>
            </w:pPr>
            <w:r>
              <w:rPr>
                <w:rFonts w:hint="eastAsia"/>
              </w:rPr>
              <w:t>历史文化街区公共服务设施分级分类配套导则</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适用于历史文化街区公共服务设施规划建设的技术指南，规定了不同类级的历史文化街区及所属社区公共服务设施的分类原则、配套标准、主要技术和规划方法。</w:t>
            </w:r>
          </w:p>
          <w:p>
            <w:r>
              <w:rPr>
                <w:rFonts w:hint="eastAsia"/>
              </w:rPr>
              <w:t>主要内容：</w:t>
            </w:r>
          </w:p>
          <w:p>
            <w:pPr>
              <w:rPr>
                <w:rFonts w:asciiTheme="minorHAnsi" w:hAnsiTheme="minorHAnsi" w:eastAsiaTheme="minorEastAsia" w:cstheme="minorBidi"/>
                <w:szCs w:val="22"/>
              </w:rPr>
            </w:pPr>
            <w:r>
              <w:rPr>
                <w:rFonts w:hint="eastAsia"/>
              </w:rPr>
              <w:t>1 总则；2 术语；3 历史文化街区分类；4 公共服务设施集成；5 公共服务设施规划布局；6 公共服务设施规划编制。</w:t>
            </w:r>
          </w:p>
        </w:tc>
        <w:tc>
          <w:tcPr>
            <w:tcW w:w="2473" w:type="dxa"/>
            <w:vAlign w:val="center"/>
          </w:tcPr>
          <w:p>
            <w:pPr>
              <w:rPr>
                <w:rFonts w:asciiTheme="minorHAnsi" w:hAnsiTheme="minorHAnsi" w:eastAsiaTheme="minorEastAsia" w:cstheme="minorBidi"/>
                <w:szCs w:val="22"/>
              </w:rPr>
            </w:pPr>
            <w:r>
              <w:rPr>
                <w:rFonts w:hint="eastAsia"/>
              </w:rPr>
              <w:t>中国建筑科学研究院有限公司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pPr>
              <w:jc w:val="left"/>
              <w:rPr>
                <w:rFonts w:asciiTheme="minorHAnsi" w:hAnsiTheme="minorHAnsi" w:eastAsiaTheme="minorEastAsia" w:cstheme="minorBidi"/>
                <w:szCs w:val="22"/>
              </w:rPr>
            </w:pPr>
            <w:r>
              <w:rPr>
                <w:rFonts w:hint="eastAsia"/>
              </w:rPr>
              <w:t>智慧住宅评价标准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适用于全国城镇新建、改建和扩建智慧住宅的评价。</w:t>
            </w:r>
          </w:p>
          <w:p>
            <w:r>
              <w:rPr>
                <w:rFonts w:hint="eastAsia"/>
              </w:rPr>
              <w:t>主要内容：</w:t>
            </w:r>
          </w:p>
          <w:p>
            <w:pPr>
              <w:rPr>
                <w:rFonts w:asciiTheme="minorHAnsi" w:hAnsiTheme="minorHAnsi" w:eastAsiaTheme="minorEastAsia" w:cstheme="minorBidi"/>
                <w:szCs w:val="22"/>
              </w:rPr>
            </w:pPr>
            <w:r>
              <w:rPr>
                <w:rFonts w:hint="eastAsia"/>
              </w:rPr>
              <w:t>1 总则；2 术语；3 基本规定；4 评价方法；5 评定等级；6 控制项；7 评分项；8 加分项。</w:t>
            </w:r>
          </w:p>
        </w:tc>
        <w:tc>
          <w:tcPr>
            <w:tcW w:w="2473" w:type="dxa"/>
            <w:vAlign w:val="center"/>
          </w:tcPr>
          <w:p>
            <w:pPr>
              <w:rPr>
                <w:rFonts w:asciiTheme="minorHAnsi" w:hAnsiTheme="minorHAnsi" w:eastAsiaTheme="minorEastAsia" w:cstheme="minorBidi"/>
                <w:szCs w:val="22"/>
              </w:rPr>
            </w:pPr>
            <w:r>
              <w:rPr>
                <w:rFonts w:hint="eastAsia"/>
              </w:rPr>
              <w:t>华东建筑设计研究院有限公司；中国建筑学会建筑电气分会</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r>
              <w:rPr>
                <w:rFonts w:hint="eastAsia"/>
              </w:rPr>
              <w:t>混凝土结构建筑低碳化设计标准</w:t>
            </w:r>
          </w:p>
        </w:tc>
        <w:tc>
          <w:tcPr>
            <w:tcW w:w="709" w:type="dxa"/>
            <w:vAlign w:val="center"/>
          </w:tcPr>
          <w:p>
            <w:pPr>
              <w:rPr>
                <w:rFonts w:ascii="宋体" w:hAnsi="宋体" w:cs="Tahoma"/>
                <w:szCs w:val="21"/>
              </w:rPr>
            </w:pPr>
            <w:r>
              <w:rPr>
                <w:rFonts w:hint="eastAsia" w:ascii="宋体" w:hAnsi="宋体" w:cs="Tahoma"/>
                <w:szCs w:val="21"/>
              </w:rPr>
              <w:t>工程标准</w:t>
            </w:r>
          </w:p>
        </w:tc>
        <w:tc>
          <w:tcPr>
            <w:tcW w:w="850" w:type="dxa"/>
            <w:vAlign w:val="center"/>
          </w:tcPr>
          <w:p>
            <w:pPr>
              <w:rPr>
                <w:rFonts w:ascii="宋体" w:hAnsi="宋体" w:cs="Tahoma"/>
                <w:szCs w:val="21"/>
              </w:rPr>
            </w:pPr>
            <w:r>
              <w:rPr>
                <w:rFonts w:hint="eastAsia" w:ascii="宋体" w:hAnsi="宋体" w:cs="Tahoma"/>
                <w:szCs w:val="21"/>
              </w:rPr>
              <w:t>制订</w:t>
            </w:r>
          </w:p>
        </w:tc>
        <w:tc>
          <w:tcPr>
            <w:tcW w:w="6804" w:type="dxa"/>
            <w:vAlign w:val="center"/>
          </w:tcPr>
          <w:p>
            <w:r>
              <w:rPr>
                <w:rFonts w:hint="eastAsia"/>
              </w:rPr>
              <w:t>适用于新建、改建和扩建民用混凝土结构建筑的低碳化设计。</w:t>
            </w:r>
          </w:p>
          <w:p>
            <w:r>
              <w:rPr>
                <w:rFonts w:hint="eastAsia"/>
              </w:rPr>
              <w:t>主要内容：</w:t>
            </w:r>
          </w:p>
          <w:p>
            <w:r>
              <w:rPr>
                <w:rFonts w:hint="eastAsia"/>
              </w:rPr>
              <w:t>1 总则；2 术语及符号；3 基本规定；4 低碳设计策划；5 建筑设计；6 结构设计；7 给水排水设计；8 暖通空调设计；9 建筑电气设计；10 景观设计；11 室内装修设计。</w:t>
            </w:r>
          </w:p>
        </w:tc>
        <w:tc>
          <w:tcPr>
            <w:tcW w:w="2473" w:type="dxa"/>
            <w:vAlign w:val="center"/>
          </w:tcPr>
          <w:p>
            <w:pPr>
              <w:rPr>
                <w:rFonts w:asciiTheme="minorHAnsi" w:hAnsiTheme="minorHAnsi" w:eastAsiaTheme="minorEastAsia" w:cstheme="minorBidi"/>
                <w:szCs w:val="22"/>
              </w:rPr>
            </w:pPr>
            <w:r>
              <w:rPr>
                <w:rFonts w:hint="eastAsia"/>
              </w:rPr>
              <w:t>中国建筑科学研究院有限公司</w:t>
            </w:r>
          </w:p>
        </w:tc>
        <w:tc>
          <w:tcPr>
            <w:tcW w:w="1127" w:type="dxa"/>
            <w:vAlign w:val="center"/>
          </w:tcPr>
          <w:p>
            <w:pPr>
              <w:widowControl/>
              <w:rPr>
                <w:szCs w:val="21"/>
              </w:rPr>
            </w:pPr>
            <w:r>
              <w:rPr>
                <w:szCs w:val="21"/>
              </w:rPr>
              <w:t>20</w:t>
            </w:r>
            <w:r>
              <w:rPr>
                <w:rFonts w:hint="eastAsia"/>
                <w:szCs w:val="21"/>
              </w:rPr>
              <w:t>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7" w:type="dxa"/>
            <w:vAlign w:val="center"/>
          </w:tcPr>
          <w:p>
            <w:pPr>
              <w:pStyle w:val="15"/>
              <w:widowControl/>
              <w:numPr>
                <w:ilvl w:val="0"/>
                <w:numId w:val="1"/>
              </w:numPr>
              <w:ind w:firstLineChars="0"/>
              <w:jc w:val="center"/>
              <w:rPr>
                <w:rFonts w:cs="宋体" w:asciiTheme="minorEastAsia" w:hAnsiTheme="minorEastAsia"/>
                <w:kern w:val="0"/>
                <w:szCs w:val="21"/>
              </w:rPr>
            </w:pPr>
          </w:p>
        </w:tc>
        <w:tc>
          <w:tcPr>
            <w:tcW w:w="1548" w:type="dxa"/>
            <w:vAlign w:val="center"/>
          </w:tcPr>
          <w:p>
            <w:pPr>
              <w:rPr>
                <w:rFonts w:hint="eastAsia"/>
              </w:rPr>
            </w:pPr>
            <w:r>
              <w:rPr>
                <w:rFonts w:hint="eastAsia"/>
              </w:rPr>
              <w:t>屋顶平台及女儿墙防水防渗工程技术规程</w:t>
            </w:r>
          </w:p>
        </w:tc>
        <w:tc>
          <w:tcPr>
            <w:tcW w:w="709" w:type="dxa"/>
            <w:vAlign w:val="center"/>
          </w:tcPr>
          <w:p>
            <w:pPr>
              <w:rPr>
                <w:rFonts w:hint="eastAsia" w:ascii="宋体" w:hAnsi="宋体" w:cs="Tahoma"/>
                <w:szCs w:val="21"/>
              </w:rPr>
            </w:pPr>
            <w:r>
              <w:rPr>
                <w:rFonts w:hint="eastAsia" w:ascii="宋体" w:hAnsi="宋体" w:cs="Tahoma"/>
                <w:szCs w:val="21"/>
              </w:rPr>
              <w:t>工程标准</w:t>
            </w:r>
          </w:p>
        </w:tc>
        <w:tc>
          <w:tcPr>
            <w:tcW w:w="850" w:type="dxa"/>
            <w:vAlign w:val="center"/>
          </w:tcPr>
          <w:p>
            <w:pPr>
              <w:rPr>
                <w:rFonts w:hint="eastAsia" w:ascii="宋体" w:hAnsi="宋体" w:cs="Tahoma"/>
                <w:szCs w:val="21"/>
              </w:rPr>
            </w:pPr>
            <w:r>
              <w:rPr>
                <w:rFonts w:hint="eastAsia" w:ascii="宋体" w:hAnsi="宋体" w:cs="Tahoma"/>
                <w:szCs w:val="21"/>
              </w:rPr>
              <w:t>制订</w:t>
            </w:r>
          </w:p>
        </w:tc>
        <w:tc>
          <w:tcPr>
            <w:tcW w:w="6804" w:type="dxa"/>
            <w:vAlign w:val="center"/>
          </w:tcPr>
          <w:p>
            <w:r>
              <w:rPr>
                <w:rFonts w:hint="eastAsia"/>
              </w:rPr>
              <w:t>适用于屋顶平面和女儿墙防水防渗漏构造的设计、施工和维护。</w:t>
            </w:r>
          </w:p>
          <w:p>
            <w:r>
              <w:rPr>
                <w:rFonts w:hint="eastAsia"/>
              </w:rPr>
              <w:t>主要内容：</w:t>
            </w:r>
          </w:p>
          <w:p>
            <w:pPr>
              <w:rPr>
                <w:rFonts w:hint="eastAsia"/>
              </w:rPr>
            </w:pPr>
            <w:r>
              <w:rPr>
                <w:rFonts w:hint="eastAsia"/>
              </w:rPr>
              <w:t>1 总则、2术语、3 基本规定、4、设计及构造、5、材料、6、施工及验收、7、维护及管理。</w:t>
            </w:r>
          </w:p>
        </w:tc>
        <w:tc>
          <w:tcPr>
            <w:tcW w:w="2473" w:type="dxa"/>
            <w:vAlign w:val="center"/>
          </w:tcPr>
          <w:p>
            <w:pPr>
              <w:rPr>
                <w:rFonts w:hint="eastAsia"/>
              </w:rPr>
            </w:pPr>
            <w:r>
              <w:rPr>
                <w:rFonts w:hint="eastAsia"/>
              </w:rPr>
              <w:t>深圳市长久防水种植屋面科技公司</w:t>
            </w:r>
          </w:p>
        </w:tc>
        <w:tc>
          <w:tcPr>
            <w:tcW w:w="1127" w:type="dxa"/>
            <w:vAlign w:val="center"/>
          </w:tcPr>
          <w:p>
            <w:pPr>
              <w:widowControl/>
              <w:rPr>
                <w:szCs w:val="21"/>
              </w:rPr>
            </w:pPr>
            <w:r>
              <w:rPr>
                <w:szCs w:val="21"/>
              </w:rPr>
              <w:t>20</w:t>
            </w:r>
            <w:r>
              <w:rPr>
                <w:rFonts w:hint="eastAsia"/>
                <w:szCs w:val="21"/>
              </w:rPr>
              <w:t>25年12月</w:t>
            </w:r>
          </w:p>
        </w:tc>
      </w:tr>
    </w:tbl>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eastAsia="仿宋_GB2312"/>
          <w:b/>
          <w:snapToGrid w:val="0"/>
          <w:kern w:val="0"/>
          <w:sz w:val="36"/>
          <w:szCs w:val="36"/>
        </w:rPr>
      </w:pPr>
    </w:p>
    <w:sectPr>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600000000000000"/>
    <w:charset w:val="86"/>
    <w:family w:val="script"/>
    <w:pitch w:val="default"/>
    <w:sig w:usb0="00000000" w:usb1="00000000" w:usb2="00000012" w:usb3="00000000" w:csb0="00160001" w:csb1="1203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C553E"/>
    <w:multiLevelType w:val="multilevel"/>
    <w:tmpl w:val="046C55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jg2YmFkNzdjNmU5ODJkNzg0YjU2MTFjYmU0OGEifQ=="/>
  </w:docVars>
  <w:rsids>
    <w:rsidRoot w:val="00A65E03"/>
    <w:rsid w:val="00033E46"/>
    <w:rsid w:val="000412E4"/>
    <w:rsid w:val="00047F17"/>
    <w:rsid w:val="000639F3"/>
    <w:rsid w:val="000B0B1A"/>
    <w:rsid w:val="000D0109"/>
    <w:rsid w:val="000D7BCB"/>
    <w:rsid w:val="000E066C"/>
    <w:rsid w:val="0010109F"/>
    <w:rsid w:val="00113856"/>
    <w:rsid w:val="00136ABB"/>
    <w:rsid w:val="0019068B"/>
    <w:rsid w:val="001D2212"/>
    <w:rsid w:val="001F581F"/>
    <w:rsid w:val="00212D3C"/>
    <w:rsid w:val="00243CF4"/>
    <w:rsid w:val="002637B9"/>
    <w:rsid w:val="00275675"/>
    <w:rsid w:val="00276713"/>
    <w:rsid w:val="002B7DF3"/>
    <w:rsid w:val="002C4EED"/>
    <w:rsid w:val="0030584D"/>
    <w:rsid w:val="00312BFE"/>
    <w:rsid w:val="00344531"/>
    <w:rsid w:val="003577A2"/>
    <w:rsid w:val="0037372E"/>
    <w:rsid w:val="00374E4A"/>
    <w:rsid w:val="00374F9F"/>
    <w:rsid w:val="00396870"/>
    <w:rsid w:val="003A35DD"/>
    <w:rsid w:val="00401712"/>
    <w:rsid w:val="00402AC6"/>
    <w:rsid w:val="004304D7"/>
    <w:rsid w:val="004305DC"/>
    <w:rsid w:val="0044094D"/>
    <w:rsid w:val="004672BE"/>
    <w:rsid w:val="00467E4F"/>
    <w:rsid w:val="0048705A"/>
    <w:rsid w:val="004A4420"/>
    <w:rsid w:val="004E1360"/>
    <w:rsid w:val="004F61E2"/>
    <w:rsid w:val="0050125D"/>
    <w:rsid w:val="0051247F"/>
    <w:rsid w:val="00514471"/>
    <w:rsid w:val="005325B4"/>
    <w:rsid w:val="00542426"/>
    <w:rsid w:val="0056137A"/>
    <w:rsid w:val="005829FE"/>
    <w:rsid w:val="00590FFF"/>
    <w:rsid w:val="005E3DA6"/>
    <w:rsid w:val="00623B7A"/>
    <w:rsid w:val="006320D0"/>
    <w:rsid w:val="0063632C"/>
    <w:rsid w:val="00640C12"/>
    <w:rsid w:val="00684896"/>
    <w:rsid w:val="006C1B0D"/>
    <w:rsid w:val="006F7CF8"/>
    <w:rsid w:val="00745588"/>
    <w:rsid w:val="0075142F"/>
    <w:rsid w:val="00760E3D"/>
    <w:rsid w:val="00765709"/>
    <w:rsid w:val="0077386A"/>
    <w:rsid w:val="007A757E"/>
    <w:rsid w:val="007F571F"/>
    <w:rsid w:val="008152B7"/>
    <w:rsid w:val="0082689E"/>
    <w:rsid w:val="00845381"/>
    <w:rsid w:val="00847258"/>
    <w:rsid w:val="00884246"/>
    <w:rsid w:val="008A08EA"/>
    <w:rsid w:val="008A525D"/>
    <w:rsid w:val="008A7BF3"/>
    <w:rsid w:val="008B79A2"/>
    <w:rsid w:val="008C0D9B"/>
    <w:rsid w:val="008C11A9"/>
    <w:rsid w:val="008D0AA4"/>
    <w:rsid w:val="008F3367"/>
    <w:rsid w:val="0095351B"/>
    <w:rsid w:val="009C6A86"/>
    <w:rsid w:val="009E4116"/>
    <w:rsid w:val="00A01957"/>
    <w:rsid w:val="00A035AB"/>
    <w:rsid w:val="00A16183"/>
    <w:rsid w:val="00A20660"/>
    <w:rsid w:val="00A607F6"/>
    <w:rsid w:val="00A65E03"/>
    <w:rsid w:val="00A71E66"/>
    <w:rsid w:val="00A83418"/>
    <w:rsid w:val="00A91D16"/>
    <w:rsid w:val="00AC4F61"/>
    <w:rsid w:val="00AD37DE"/>
    <w:rsid w:val="00B00A0E"/>
    <w:rsid w:val="00B10035"/>
    <w:rsid w:val="00B200A5"/>
    <w:rsid w:val="00B23C3E"/>
    <w:rsid w:val="00B27612"/>
    <w:rsid w:val="00B35982"/>
    <w:rsid w:val="00B515AE"/>
    <w:rsid w:val="00BD0073"/>
    <w:rsid w:val="00C02436"/>
    <w:rsid w:val="00C37867"/>
    <w:rsid w:val="00C46543"/>
    <w:rsid w:val="00C90F7B"/>
    <w:rsid w:val="00C96E67"/>
    <w:rsid w:val="00C97413"/>
    <w:rsid w:val="00C975AF"/>
    <w:rsid w:val="00CD487C"/>
    <w:rsid w:val="00CE5DC5"/>
    <w:rsid w:val="00CF53F0"/>
    <w:rsid w:val="00CF70FF"/>
    <w:rsid w:val="00D15C9B"/>
    <w:rsid w:val="00D17B53"/>
    <w:rsid w:val="00D21F70"/>
    <w:rsid w:val="00D465CC"/>
    <w:rsid w:val="00D76654"/>
    <w:rsid w:val="00DA235A"/>
    <w:rsid w:val="00DF6781"/>
    <w:rsid w:val="00DF6BAC"/>
    <w:rsid w:val="00E337B9"/>
    <w:rsid w:val="00E41DC0"/>
    <w:rsid w:val="00E5079A"/>
    <w:rsid w:val="00E65494"/>
    <w:rsid w:val="00E81B7A"/>
    <w:rsid w:val="00E87BF5"/>
    <w:rsid w:val="00EB782D"/>
    <w:rsid w:val="00EC3FC0"/>
    <w:rsid w:val="00ED44E6"/>
    <w:rsid w:val="00F25359"/>
    <w:rsid w:val="00F26CC6"/>
    <w:rsid w:val="00F27A54"/>
    <w:rsid w:val="00F57E6A"/>
    <w:rsid w:val="00F86C13"/>
    <w:rsid w:val="00FC2D95"/>
    <w:rsid w:val="00FD01AF"/>
    <w:rsid w:val="00FD34F2"/>
    <w:rsid w:val="00FF63E7"/>
    <w:rsid w:val="032064E7"/>
    <w:rsid w:val="043A35D9"/>
    <w:rsid w:val="08DC0905"/>
    <w:rsid w:val="0C0514A5"/>
    <w:rsid w:val="0D3063BF"/>
    <w:rsid w:val="0ED96AED"/>
    <w:rsid w:val="0FEB416A"/>
    <w:rsid w:val="113A4C18"/>
    <w:rsid w:val="147541B9"/>
    <w:rsid w:val="14DB66BC"/>
    <w:rsid w:val="14FB3170"/>
    <w:rsid w:val="15BE68A1"/>
    <w:rsid w:val="1A844857"/>
    <w:rsid w:val="1B183FB1"/>
    <w:rsid w:val="1F3233D2"/>
    <w:rsid w:val="1FFD4A88"/>
    <w:rsid w:val="20B120D5"/>
    <w:rsid w:val="29020C83"/>
    <w:rsid w:val="2EE95076"/>
    <w:rsid w:val="2F3E7229"/>
    <w:rsid w:val="2F61560E"/>
    <w:rsid w:val="2FFF1C9D"/>
    <w:rsid w:val="32931F82"/>
    <w:rsid w:val="3399443F"/>
    <w:rsid w:val="34A246FE"/>
    <w:rsid w:val="366F6793"/>
    <w:rsid w:val="374351F1"/>
    <w:rsid w:val="3F9B06C8"/>
    <w:rsid w:val="40F3398A"/>
    <w:rsid w:val="451231DA"/>
    <w:rsid w:val="455073A0"/>
    <w:rsid w:val="496E6505"/>
    <w:rsid w:val="4BE11211"/>
    <w:rsid w:val="4E81726A"/>
    <w:rsid w:val="569A3030"/>
    <w:rsid w:val="5A1D0252"/>
    <w:rsid w:val="5BEA1CC9"/>
    <w:rsid w:val="61B551C2"/>
    <w:rsid w:val="61EB0BE3"/>
    <w:rsid w:val="62B66AFB"/>
    <w:rsid w:val="66AF4669"/>
    <w:rsid w:val="6731730F"/>
    <w:rsid w:val="67ED7463"/>
    <w:rsid w:val="6C41287B"/>
    <w:rsid w:val="6C8270AA"/>
    <w:rsid w:val="71396802"/>
    <w:rsid w:val="718D41D8"/>
    <w:rsid w:val="76DF46A0"/>
    <w:rsid w:val="79D642C7"/>
    <w:rsid w:val="7CF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styleId="12">
    <w:name w:val="annotation reference"/>
    <w:basedOn w:val="9"/>
    <w:qFormat/>
    <w:uiPriority w:val="0"/>
    <w:rPr>
      <w:sz w:val="21"/>
      <w:szCs w:val="21"/>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日期 字符"/>
    <w:basedOn w:val="9"/>
    <w:link w:val="3"/>
    <w:semiHidden/>
    <w:qFormat/>
    <w:uiPriority w:val="99"/>
    <w:rPr>
      <w:rFonts w:ascii="Times New Roman" w:hAnsi="Times New Roman" w:eastAsia="宋体" w:cs="Times New Roman"/>
      <w:szCs w:val="24"/>
    </w:rPr>
  </w:style>
  <w:style w:type="paragraph" w:styleId="15">
    <w:name w:val="List Paragraph"/>
    <w:basedOn w:val="1"/>
    <w:qFormat/>
    <w:uiPriority w:val="34"/>
    <w:pPr>
      <w:ind w:firstLine="420" w:firstLineChars="200"/>
    </w:pPr>
  </w:style>
  <w:style w:type="character" w:customStyle="1" w:styleId="16">
    <w:name w:val="页眉 字符"/>
    <w:basedOn w:val="9"/>
    <w:link w:val="6"/>
    <w:qFormat/>
    <w:uiPriority w:val="99"/>
    <w:rPr>
      <w:rFonts w:ascii="Times New Roman" w:hAnsi="Times New Roman" w:eastAsia="宋体" w:cs="Times New Roman"/>
      <w:sz w:val="18"/>
      <w:szCs w:val="18"/>
    </w:rPr>
  </w:style>
  <w:style w:type="character" w:customStyle="1" w:styleId="17">
    <w:name w:val="页脚 字符"/>
    <w:basedOn w:val="9"/>
    <w:link w:val="5"/>
    <w:qFormat/>
    <w:uiPriority w:val="99"/>
    <w:rPr>
      <w:rFonts w:ascii="Times New Roman" w:hAnsi="Times New Roman" w:eastAsia="宋体" w:cs="Times New Roman"/>
      <w:sz w:val="18"/>
      <w:szCs w:val="18"/>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0803-AD56-4717-9148-5BA34043DEA1}">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853</Words>
  <Characters>884</Characters>
  <Lines>7</Lines>
  <Paragraphs>2</Paragraphs>
  <TotalTime>34</TotalTime>
  <ScaleCrop>false</ScaleCrop>
  <LinksUpToDate>false</LinksUpToDate>
  <CharactersWithSpaces>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2022-01-14T12:00:00Z</dcterms:created>
  <dc:creator>李小阳</dc:creator>
  <cp:lastModifiedBy>O哈yo</cp:lastModifiedBy>
  <cp:lastPrinted>2023-03-09T01:03:00Z</cp:lastPrinted>
  <dcterms:modified xsi:type="dcterms:W3CDTF">2023-09-26T03:58:02Z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A46920BD8EC2462D8322686149154AFC</vt:lpwstr>
  </property>
</Properties>
</file>